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FE95" w14:textId="77777777" w:rsidR="00AB3B94" w:rsidRPr="007860C1" w:rsidRDefault="00AB3B94" w:rsidP="00310951">
      <w:pPr>
        <w:spacing w:after="0" w:line="240" w:lineRule="auto"/>
        <w:jc w:val="both"/>
        <w:rPr>
          <w:rFonts w:ascii="Times New Roman" w:eastAsia="Calibri" w:hAnsi="Times New Roman" w:cs="Times New Roman"/>
          <w:b/>
          <w:sz w:val="24"/>
          <w:szCs w:val="24"/>
          <w:lang w:eastAsia="et-EE"/>
        </w:rPr>
      </w:pPr>
      <w:r w:rsidRPr="007860C1">
        <w:rPr>
          <w:rFonts w:ascii="Times New Roman" w:eastAsia="Calibri" w:hAnsi="Times New Roman" w:cs="Times New Roman"/>
          <w:b/>
          <w:sz w:val="24"/>
          <w:szCs w:val="24"/>
          <w:lang w:eastAsia="et-EE"/>
        </w:rPr>
        <w:t>SIHTVALIKU TEEMA KOKKUVÕTE</w:t>
      </w:r>
    </w:p>
    <w:p w14:paraId="7CF648CE" w14:textId="6632CE9E" w:rsidR="00AB3B94" w:rsidRPr="007860C1" w:rsidRDefault="00AB3B94" w:rsidP="00310951">
      <w:pPr>
        <w:spacing w:after="0" w:line="240" w:lineRule="auto"/>
        <w:jc w:val="both"/>
        <w:rPr>
          <w:rFonts w:ascii="Times New Roman" w:eastAsia="Calibri" w:hAnsi="Times New Roman" w:cs="Times New Roman"/>
          <w:bCs/>
          <w:sz w:val="24"/>
          <w:szCs w:val="24"/>
          <w:lang w:eastAsia="et-EE"/>
        </w:rPr>
      </w:pPr>
    </w:p>
    <w:p w14:paraId="462D6388" w14:textId="77777777" w:rsidR="00BC3982" w:rsidRPr="007860C1" w:rsidRDefault="00BC3982" w:rsidP="00310951">
      <w:pPr>
        <w:spacing w:after="0" w:line="240" w:lineRule="auto"/>
        <w:jc w:val="both"/>
        <w:rPr>
          <w:rFonts w:ascii="Times New Roman" w:eastAsia="Calibri" w:hAnsi="Times New Roman" w:cs="Times New Roman"/>
          <w:bCs/>
          <w:sz w:val="24"/>
          <w:szCs w:val="24"/>
          <w:lang w:eastAsia="et-EE"/>
        </w:rPr>
      </w:pPr>
    </w:p>
    <w:p w14:paraId="0F540D43" w14:textId="77777777" w:rsidR="00AB3B94" w:rsidRPr="00096B24" w:rsidRDefault="00AB3B94" w:rsidP="00096B24">
      <w:pPr>
        <w:spacing w:after="0" w:line="240" w:lineRule="auto"/>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 xml:space="preserve">Esitaja: Eesti Haigekassa kvaliteedi edenduse osakond </w:t>
      </w:r>
    </w:p>
    <w:p w14:paraId="268D71B9" w14:textId="180A328D" w:rsidR="00AB3B94" w:rsidRPr="00096B24" w:rsidRDefault="00AB3B94" w:rsidP="00096B24">
      <w:pPr>
        <w:suppressAutoHyphens/>
        <w:spacing w:after="0" w:line="240" w:lineRule="auto"/>
        <w:jc w:val="both"/>
        <w:rPr>
          <w:rFonts w:ascii="Times New Roman" w:eastAsia="Times New Roman" w:hAnsi="Times New Roman" w:cs="Times New Roman"/>
          <w:b/>
          <w:bCs/>
          <w:color w:val="000000"/>
          <w:sz w:val="24"/>
          <w:szCs w:val="24"/>
          <w:lang w:eastAsia="et-EE"/>
        </w:rPr>
      </w:pPr>
      <w:r w:rsidRPr="00096B24">
        <w:rPr>
          <w:rFonts w:ascii="Times New Roman" w:eastAsia="Calibri" w:hAnsi="Times New Roman" w:cs="Times New Roman"/>
          <w:noProof/>
          <w:color w:val="000000"/>
          <w:sz w:val="24"/>
          <w:szCs w:val="24"/>
          <w:lang w:eastAsia="et-EE"/>
        </w:rPr>
        <w:t>Sihtvaliku teema:</w:t>
      </w:r>
      <w:r w:rsidRPr="00096B24">
        <w:rPr>
          <w:rFonts w:ascii="Times New Roman" w:eastAsia="Calibri" w:hAnsi="Times New Roman" w:cs="Times New Roman"/>
          <w:noProof/>
          <w:sz w:val="24"/>
          <w:szCs w:val="24"/>
          <w:lang w:eastAsia="et-EE"/>
        </w:rPr>
        <w:t xml:space="preserve"> </w:t>
      </w:r>
      <w:r w:rsidR="00601BF8" w:rsidRPr="00096B24">
        <w:rPr>
          <w:rFonts w:ascii="Times New Roman" w:hAnsi="Times New Roman" w:cs="Times New Roman"/>
          <w:b/>
          <w:sz w:val="24"/>
          <w:szCs w:val="24"/>
        </w:rPr>
        <w:t xml:space="preserve">Esmaselt puusaliigese </w:t>
      </w:r>
      <w:proofErr w:type="spellStart"/>
      <w:r w:rsidR="00601BF8" w:rsidRPr="00096B24">
        <w:rPr>
          <w:rFonts w:ascii="Times New Roman" w:hAnsi="Times New Roman" w:cs="Times New Roman"/>
          <w:b/>
          <w:sz w:val="24"/>
          <w:szCs w:val="24"/>
        </w:rPr>
        <w:t>endoproteesimise</w:t>
      </w:r>
      <w:proofErr w:type="spellEnd"/>
      <w:r w:rsidR="00601BF8" w:rsidRPr="00096B24">
        <w:rPr>
          <w:rFonts w:ascii="Times New Roman" w:hAnsi="Times New Roman" w:cs="Times New Roman"/>
          <w:b/>
          <w:sz w:val="24"/>
          <w:szCs w:val="24"/>
        </w:rPr>
        <w:t xml:space="preserve"> läbinud isikute raviteekonna kaardistamine ja kliiniline kodeerimine</w:t>
      </w:r>
    </w:p>
    <w:p w14:paraId="1B508A65" w14:textId="68226F2B" w:rsidR="00AB3B94" w:rsidRPr="00096B24" w:rsidRDefault="00AB3B94" w:rsidP="00096B24">
      <w:pPr>
        <w:spacing w:after="0" w:line="240" w:lineRule="auto"/>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 xml:space="preserve">Ravidokumentide hindamise periood: </w:t>
      </w:r>
      <w:r w:rsidR="00601BF8" w:rsidRPr="00096B24">
        <w:rPr>
          <w:rFonts w:ascii="Times New Roman" w:hAnsi="Times New Roman" w:cs="Times New Roman"/>
          <w:bCs/>
          <w:sz w:val="24"/>
          <w:szCs w:val="24"/>
        </w:rPr>
        <w:t>2019.aasta</w:t>
      </w:r>
      <w:r w:rsidRPr="00096B24">
        <w:rPr>
          <w:rFonts w:ascii="Times New Roman" w:eastAsia="Calibri" w:hAnsi="Times New Roman" w:cs="Times New Roman"/>
          <w:sz w:val="24"/>
          <w:szCs w:val="24"/>
          <w:lang w:eastAsia="ar-SA"/>
        </w:rPr>
        <w:t xml:space="preserve">  </w:t>
      </w:r>
    </w:p>
    <w:p w14:paraId="5DE68995" w14:textId="77777777" w:rsidR="00BC3982" w:rsidRPr="00096B24" w:rsidRDefault="00BC3982" w:rsidP="00096B24">
      <w:pPr>
        <w:spacing w:after="0" w:line="240" w:lineRule="auto"/>
        <w:jc w:val="both"/>
        <w:rPr>
          <w:rFonts w:ascii="Times New Roman" w:eastAsia="Calibri" w:hAnsi="Times New Roman" w:cs="Times New Roman"/>
          <w:noProof/>
          <w:color w:val="000000"/>
          <w:sz w:val="24"/>
          <w:szCs w:val="24"/>
          <w:lang w:eastAsia="et-EE"/>
        </w:rPr>
      </w:pPr>
    </w:p>
    <w:p w14:paraId="75C187E4" w14:textId="41849DB8" w:rsidR="00AB3B94" w:rsidRPr="00096B24" w:rsidRDefault="00AB3B94" w:rsidP="00096B24">
      <w:pPr>
        <w:pStyle w:val="Heading1"/>
        <w:numPr>
          <w:ilvl w:val="0"/>
          <w:numId w:val="2"/>
        </w:numPr>
        <w:jc w:val="both"/>
        <w:rPr>
          <w:rFonts w:eastAsia="Calibri" w:cs="Times New Roman"/>
          <w:noProof/>
          <w:szCs w:val="24"/>
          <w:lang w:eastAsia="et-EE"/>
        </w:rPr>
      </w:pPr>
      <w:r w:rsidRPr="00096B24">
        <w:rPr>
          <w:rFonts w:eastAsia="Calibri" w:cs="Times New Roman"/>
          <w:noProof/>
          <w:szCs w:val="24"/>
          <w:lang w:eastAsia="et-EE"/>
        </w:rPr>
        <w:t>Ü</w:t>
      </w:r>
      <w:r w:rsidR="005169FF" w:rsidRPr="00096B24">
        <w:rPr>
          <w:rFonts w:eastAsia="Calibri" w:cs="Times New Roman"/>
          <w:noProof/>
          <w:szCs w:val="24"/>
          <w:lang w:eastAsia="et-EE"/>
        </w:rPr>
        <w:t>LDANDMED</w:t>
      </w:r>
    </w:p>
    <w:p w14:paraId="1C87313D" w14:textId="010F4F4D" w:rsidR="00AB3B94" w:rsidRPr="00096B24" w:rsidRDefault="00AB3B94" w:rsidP="00096B24">
      <w:pPr>
        <w:pStyle w:val="Heading1"/>
        <w:jc w:val="both"/>
        <w:rPr>
          <w:rFonts w:eastAsia="Calibri" w:cs="Times New Roman"/>
          <w:noProof/>
          <w:szCs w:val="24"/>
          <w:lang w:eastAsia="et-EE"/>
        </w:rPr>
      </w:pPr>
      <w:r w:rsidRPr="00096B24">
        <w:rPr>
          <w:rFonts w:eastAsia="Calibri" w:cs="Times New Roman"/>
          <w:noProof/>
          <w:szCs w:val="24"/>
          <w:lang w:eastAsia="et-EE"/>
        </w:rPr>
        <w:t xml:space="preserve"> </w:t>
      </w:r>
      <w:r w:rsidR="006F3360" w:rsidRPr="00096B24">
        <w:rPr>
          <w:rFonts w:eastAsia="Calibri" w:cs="Times New Roman"/>
          <w:noProof/>
          <w:szCs w:val="24"/>
          <w:lang w:eastAsia="et-EE"/>
        </w:rPr>
        <w:t xml:space="preserve">1.1 </w:t>
      </w:r>
      <w:r w:rsidRPr="00096B24">
        <w:rPr>
          <w:rFonts w:eastAsia="Calibri" w:cs="Times New Roman"/>
          <w:noProof/>
          <w:szCs w:val="24"/>
          <w:lang w:eastAsia="et-EE"/>
        </w:rPr>
        <w:t>Sihtvalikuga teostatud ravikindlustushüvitiste määramist ja väljamaksmist tõendavate dokumentide (RkhDok) hindamine</w:t>
      </w:r>
    </w:p>
    <w:tbl>
      <w:tblPr>
        <w:tblW w:w="8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2"/>
        <w:gridCol w:w="1843"/>
        <w:gridCol w:w="2047"/>
        <w:gridCol w:w="2094"/>
      </w:tblGrid>
      <w:tr w:rsidR="00AB3B94" w:rsidRPr="00096B24" w14:paraId="0AD1E6AC" w14:textId="77777777" w:rsidTr="00AB3B94">
        <w:trPr>
          <w:trHeight w:val="20"/>
        </w:trPr>
        <w:tc>
          <w:tcPr>
            <w:tcW w:w="2542" w:type="dxa"/>
            <w:vMerge w:val="restart"/>
            <w:shd w:val="clear" w:color="auto" w:fill="B8CCE4"/>
            <w:vAlign w:val="center"/>
          </w:tcPr>
          <w:p w14:paraId="0978AAEF"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RkhDok nimetus</w:t>
            </w:r>
          </w:p>
        </w:tc>
        <w:tc>
          <w:tcPr>
            <w:tcW w:w="5984" w:type="dxa"/>
            <w:gridSpan w:val="3"/>
            <w:shd w:val="clear" w:color="auto" w:fill="B8CCE4"/>
            <w:vAlign w:val="center"/>
          </w:tcPr>
          <w:p w14:paraId="75424805"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iCs/>
                <w:noProof/>
                <w:sz w:val="24"/>
                <w:szCs w:val="24"/>
                <w:lang w:eastAsia="et-EE"/>
              </w:rPr>
              <w:t>Hinnatud RkhDok</w:t>
            </w:r>
            <w:r w:rsidRPr="00096B24">
              <w:rPr>
                <w:rFonts w:ascii="Times New Roman" w:eastAsia="Calibri" w:hAnsi="Times New Roman" w:cs="Times New Roman"/>
                <w:noProof/>
                <w:sz w:val="24"/>
                <w:szCs w:val="24"/>
                <w:lang w:eastAsia="et-EE"/>
              </w:rPr>
              <w:t xml:space="preserve"> arv </w:t>
            </w:r>
          </w:p>
        </w:tc>
      </w:tr>
      <w:tr w:rsidR="00AB3B94" w:rsidRPr="00096B24" w14:paraId="6E6080EF" w14:textId="77777777" w:rsidTr="00AB3B94">
        <w:trPr>
          <w:trHeight w:val="20"/>
        </w:trPr>
        <w:tc>
          <w:tcPr>
            <w:tcW w:w="2542" w:type="dxa"/>
            <w:vMerge/>
            <w:shd w:val="clear" w:color="auto" w:fill="B8CCE4"/>
            <w:vAlign w:val="center"/>
          </w:tcPr>
          <w:p w14:paraId="318B1BE4"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p>
        </w:tc>
        <w:tc>
          <w:tcPr>
            <w:tcW w:w="1843" w:type="dxa"/>
            <w:shd w:val="clear" w:color="auto" w:fill="B8CCE4"/>
            <w:vAlign w:val="center"/>
          </w:tcPr>
          <w:p w14:paraId="40B9D7A3"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Sihtvalikuga planeeritud</w:t>
            </w:r>
          </w:p>
        </w:tc>
        <w:tc>
          <w:tcPr>
            <w:tcW w:w="2047" w:type="dxa"/>
            <w:shd w:val="clear" w:color="auto" w:fill="B8CCE4"/>
            <w:vAlign w:val="center"/>
          </w:tcPr>
          <w:p w14:paraId="349271F1"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 xml:space="preserve">Kaasuvad ja </w:t>
            </w:r>
          </w:p>
          <w:p w14:paraId="7129E957" w14:textId="294B8CE4" w:rsidR="00AB3B94" w:rsidRPr="00096B24" w:rsidRDefault="00CE4C3A"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l</w:t>
            </w:r>
            <w:r w:rsidR="00AB3B94" w:rsidRPr="00096B24">
              <w:rPr>
                <w:rFonts w:ascii="Times New Roman" w:eastAsia="Calibri" w:hAnsi="Times New Roman" w:cs="Times New Roman"/>
                <w:noProof/>
                <w:sz w:val="24"/>
                <w:szCs w:val="24"/>
                <w:lang w:eastAsia="et-EE"/>
              </w:rPr>
              <w:t>isajuhud</w:t>
            </w:r>
            <w:r w:rsidR="00AC2C33" w:rsidRPr="00096B24">
              <w:rPr>
                <w:rFonts w:ascii="Times New Roman" w:eastAsia="Calibri" w:hAnsi="Times New Roman" w:cs="Times New Roman"/>
                <w:noProof/>
                <w:sz w:val="24"/>
                <w:szCs w:val="24"/>
                <w:lang w:eastAsia="et-EE"/>
              </w:rPr>
              <w:t>*</w:t>
            </w:r>
          </w:p>
        </w:tc>
        <w:tc>
          <w:tcPr>
            <w:tcW w:w="2094" w:type="dxa"/>
            <w:shd w:val="clear" w:color="auto" w:fill="B8CCE4"/>
            <w:vAlign w:val="center"/>
          </w:tcPr>
          <w:p w14:paraId="6FE990AF"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KOKKU</w:t>
            </w:r>
          </w:p>
        </w:tc>
      </w:tr>
      <w:tr w:rsidR="00AB3B94" w:rsidRPr="00096B24" w14:paraId="48F5F6D9" w14:textId="77777777" w:rsidTr="00AB3B94">
        <w:trPr>
          <w:cantSplit/>
          <w:trHeight w:val="20"/>
        </w:trPr>
        <w:tc>
          <w:tcPr>
            <w:tcW w:w="2542" w:type="dxa"/>
          </w:tcPr>
          <w:p w14:paraId="073F384E"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Raviarved</w:t>
            </w:r>
          </w:p>
        </w:tc>
        <w:tc>
          <w:tcPr>
            <w:tcW w:w="1843" w:type="dxa"/>
          </w:tcPr>
          <w:p w14:paraId="1F5FB5F8" w14:textId="3375CEE7" w:rsidR="00AB3B94" w:rsidRPr="00096B24" w:rsidRDefault="00601BF8"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140</w:t>
            </w:r>
          </w:p>
        </w:tc>
        <w:tc>
          <w:tcPr>
            <w:tcW w:w="2047" w:type="dxa"/>
          </w:tcPr>
          <w:p w14:paraId="35D4B653" w14:textId="37C31110" w:rsidR="00AB3B94" w:rsidRPr="00096B24" w:rsidRDefault="00024B5E"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2</w:t>
            </w:r>
            <w:r w:rsidR="00A560A1" w:rsidRPr="00096B24">
              <w:rPr>
                <w:rFonts w:ascii="Times New Roman" w:eastAsia="Calibri" w:hAnsi="Times New Roman" w:cs="Times New Roman"/>
                <w:noProof/>
                <w:sz w:val="24"/>
                <w:szCs w:val="24"/>
                <w:lang w:eastAsia="et-EE"/>
              </w:rPr>
              <w:t>362</w:t>
            </w:r>
          </w:p>
        </w:tc>
        <w:tc>
          <w:tcPr>
            <w:tcW w:w="2094" w:type="dxa"/>
          </w:tcPr>
          <w:p w14:paraId="3C634FB7" w14:textId="7D0AACB2" w:rsidR="00AB3B94" w:rsidRPr="00096B24" w:rsidRDefault="00A560A1"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2502</w:t>
            </w:r>
          </w:p>
        </w:tc>
      </w:tr>
      <w:tr w:rsidR="00AB3B94" w:rsidRPr="00096B24" w14:paraId="7EB95E01" w14:textId="77777777" w:rsidTr="00AB3B94">
        <w:trPr>
          <w:cantSplit/>
          <w:trHeight w:val="20"/>
        </w:trPr>
        <w:tc>
          <w:tcPr>
            <w:tcW w:w="2542" w:type="dxa"/>
          </w:tcPr>
          <w:p w14:paraId="1F0BB4BB"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Soodusretseptid</w:t>
            </w:r>
          </w:p>
        </w:tc>
        <w:tc>
          <w:tcPr>
            <w:tcW w:w="1843" w:type="dxa"/>
          </w:tcPr>
          <w:p w14:paraId="1F2131DE"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p>
        </w:tc>
        <w:tc>
          <w:tcPr>
            <w:tcW w:w="2047" w:type="dxa"/>
          </w:tcPr>
          <w:p w14:paraId="5782D382"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p>
        </w:tc>
        <w:tc>
          <w:tcPr>
            <w:tcW w:w="2094" w:type="dxa"/>
          </w:tcPr>
          <w:p w14:paraId="50F91577"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p>
        </w:tc>
      </w:tr>
      <w:tr w:rsidR="00AB3B94" w:rsidRPr="00096B24" w14:paraId="5E40EA44" w14:textId="77777777" w:rsidTr="00AB3B94">
        <w:trPr>
          <w:cantSplit/>
          <w:trHeight w:val="20"/>
        </w:trPr>
        <w:tc>
          <w:tcPr>
            <w:tcW w:w="2542" w:type="dxa"/>
          </w:tcPr>
          <w:p w14:paraId="28583C28"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Töövõimetuslehed</w:t>
            </w:r>
          </w:p>
        </w:tc>
        <w:tc>
          <w:tcPr>
            <w:tcW w:w="1843" w:type="dxa"/>
          </w:tcPr>
          <w:p w14:paraId="5C08A4AB"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p>
        </w:tc>
        <w:tc>
          <w:tcPr>
            <w:tcW w:w="2047" w:type="dxa"/>
          </w:tcPr>
          <w:p w14:paraId="52A221AA"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p>
        </w:tc>
        <w:tc>
          <w:tcPr>
            <w:tcW w:w="2094" w:type="dxa"/>
          </w:tcPr>
          <w:p w14:paraId="30F26607"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p>
        </w:tc>
      </w:tr>
      <w:tr w:rsidR="00AB3B94" w:rsidRPr="00096B24" w14:paraId="7E31B724" w14:textId="77777777" w:rsidTr="00AB3B94">
        <w:trPr>
          <w:cantSplit/>
          <w:trHeight w:val="20"/>
        </w:trPr>
        <w:tc>
          <w:tcPr>
            <w:tcW w:w="2542" w:type="dxa"/>
            <w:tcBorders>
              <w:bottom w:val="single" w:sz="4" w:space="0" w:color="auto"/>
            </w:tcBorders>
          </w:tcPr>
          <w:p w14:paraId="7B6816BB"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Muud</w:t>
            </w:r>
          </w:p>
        </w:tc>
        <w:tc>
          <w:tcPr>
            <w:tcW w:w="1843" w:type="dxa"/>
            <w:tcBorders>
              <w:bottom w:val="single" w:sz="4" w:space="0" w:color="auto"/>
            </w:tcBorders>
          </w:tcPr>
          <w:p w14:paraId="633CF094"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p>
        </w:tc>
        <w:tc>
          <w:tcPr>
            <w:tcW w:w="2047" w:type="dxa"/>
            <w:tcBorders>
              <w:bottom w:val="single" w:sz="4" w:space="0" w:color="auto"/>
            </w:tcBorders>
          </w:tcPr>
          <w:p w14:paraId="33E6464B"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p>
        </w:tc>
        <w:tc>
          <w:tcPr>
            <w:tcW w:w="2094" w:type="dxa"/>
            <w:tcBorders>
              <w:bottom w:val="single" w:sz="4" w:space="0" w:color="auto"/>
            </w:tcBorders>
          </w:tcPr>
          <w:p w14:paraId="24236DA2"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p>
        </w:tc>
      </w:tr>
      <w:tr w:rsidR="00AB3B94" w:rsidRPr="00096B24" w14:paraId="3F81B6CA" w14:textId="77777777" w:rsidTr="00AB3B94">
        <w:trPr>
          <w:cantSplit/>
          <w:trHeight w:val="20"/>
        </w:trPr>
        <w:tc>
          <w:tcPr>
            <w:tcW w:w="2542" w:type="dxa"/>
            <w:shd w:val="clear" w:color="auto" w:fill="C6D9F1"/>
          </w:tcPr>
          <w:p w14:paraId="544BD15E"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KOKKU</w:t>
            </w:r>
          </w:p>
        </w:tc>
        <w:tc>
          <w:tcPr>
            <w:tcW w:w="1843" w:type="dxa"/>
            <w:shd w:val="clear" w:color="auto" w:fill="C6D9F1"/>
          </w:tcPr>
          <w:p w14:paraId="7BABF590" w14:textId="42ED4A47" w:rsidR="00AB3B94" w:rsidRPr="00096B24" w:rsidRDefault="00601BF8" w:rsidP="00096B24">
            <w:pPr>
              <w:spacing w:after="0" w:line="240" w:lineRule="auto"/>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140</w:t>
            </w:r>
          </w:p>
        </w:tc>
        <w:tc>
          <w:tcPr>
            <w:tcW w:w="2047" w:type="dxa"/>
            <w:shd w:val="clear" w:color="auto" w:fill="C6D9F1"/>
          </w:tcPr>
          <w:p w14:paraId="0EF87D2B" w14:textId="2FE58B0A" w:rsidR="00AB3B94" w:rsidRPr="00096B24" w:rsidRDefault="00A560A1"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2362</w:t>
            </w:r>
          </w:p>
        </w:tc>
        <w:tc>
          <w:tcPr>
            <w:tcW w:w="2094" w:type="dxa"/>
            <w:shd w:val="clear" w:color="auto" w:fill="C6D9F1"/>
          </w:tcPr>
          <w:p w14:paraId="6DE684CE" w14:textId="5865DCA1" w:rsidR="00AB3B94" w:rsidRPr="00096B24" w:rsidRDefault="00A560A1"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2502</w:t>
            </w:r>
          </w:p>
        </w:tc>
      </w:tr>
    </w:tbl>
    <w:p w14:paraId="6E4E4935" w14:textId="421B9D05" w:rsidR="00AB3B94" w:rsidRPr="00096B24" w:rsidRDefault="00AC2C33" w:rsidP="00096B24">
      <w:pPr>
        <w:spacing w:line="240" w:lineRule="auto"/>
        <w:jc w:val="both"/>
        <w:rPr>
          <w:rFonts w:ascii="Times New Roman" w:eastAsia="Calibri" w:hAnsi="Times New Roman" w:cs="Times New Roman"/>
          <w:noProof/>
          <w:color w:val="000000"/>
          <w:sz w:val="24"/>
          <w:szCs w:val="24"/>
          <w:lang w:eastAsia="et-EE"/>
        </w:rPr>
      </w:pPr>
      <w:r w:rsidRPr="00096B24">
        <w:rPr>
          <w:rFonts w:ascii="Times New Roman" w:eastAsia="Calibri" w:hAnsi="Times New Roman" w:cs="Times New Roman"/>
          <w:noProof/>
          <w:color w:val="000000"/>
          <w:sz w:val="24"/>
          <w:szCs w:val="24"/>
          <w:lang w:eastAsia="et-EE"/>
        </w:rPr>
        <w:t>*patsiendi teekonna haigusjuhud, v-a endoproteesimise haigusjuht (vt. valimi moodustamise II päring)</w:t>
      </w:r>
    </w:p>
    <w:p w14:paraId="4C5B70B0" w14:textId="70290929" w:rsidR="00AB3B94" w:rsidRPr="00096B24" w:rsidRDefault="00317D79" w:rsidP="00096B24">
      <w:pPr>
        <w:spacing w:after="0" w:line="240" w:lineRule="auto"/>
        <w:jc w:val="both"/>
        <w:rPr>
          <w:rFonts w:ascii="Times New Roman" w:eastAsia="Calibri" w:hAnsi="Times New Roman" w:cs="Times New Roman"/>
          <w:color w:val="000000"/>
          <w:sz w:val="24"/>
          <w:szCs w:val="24"/>
          <w:lang w:eastAsia="et-EE"/>
        </w:rPr>
      </w:pPr>
      <w:r w:rsidRPr="00096B24">
        <w:rPr>
          <w:rFonts w:ascii="Times New Roman" w:eastAsia="Calibri" w:hAnsi="Times New Roman" w:cs="Times New Roman"/>
          <w:color w:val="000000"/>
          <w:sz w:val="24"/>
          <w:szCs w:val="24"/>
          <w:lang w:eastAsia="et-EE"/>
        </w:rPr>
        <w:t xml:space="preserve">Sihtvalikuga planeeritud </w:t>
      </w:r>
      <w:proofErr w:type="spellStart"/>
      <w:r w:rsidRPr="00096B24">
        <w:rPr>
          <w:rFonts w:ascii="Times New Roman" w:eastAsia="Calibri" w:hAnsi="Times New Roman" w:cs="Times New Roman"/>
          <w:color w:val="000000"/>
          <w:sz w:val="24"/>
          <w:szCs w:val="24"/>
          <w:lang w:eastAsia="et-EE"/>
        </w:rPr>
        <w:t>RhkDok</w:t>
      </w:r>
      <w:proofErr w:type="spellEnd"/>
      <w:r w:rsidRPr="00096B24">
        <w:rPr>
          <w:rFonts w:ascii="Times New Roman" w:eastAsia="Calibri" w:hAnsi="Times New Roman" w:cs="Times New Roman"/>
          <w:color w:val="000000"/>
          <w:sz w:val="24"/>
          <w:szCs w:val="24"/>
          <w:lang w:eastAsia="et-EE"/>
        </w:rPr>
        <w:t xml:space="preserve"> summa oli kokku 576 135,43 EUR. </w:t>
      </w:r>
    </w:p>
    <w:p w14:paraId="6AFEE248" w14:textId="3E1210BF" w:rsidR="00AB3B94" w:rsidRPr="00096B24" w:rsidRDefault="00AB3B94" w:rsidP="00096B24">
      <w:pPr>
        <w:pStyle w:val="Heading1"/>
        <w:numPr>
          <w:ilvl w:val="1"/>
          <w:numId w:val="33"/>
        </w:numPr>
        <w:jc w:val="both"/>
        <w:rPr>
          <w:rFonts w:eastAsia="Calibri" w:cs="Times New Roman"/>
          <w:color w:val="000000"/>
          <w:szCs w:val="24"/>
          <w:lang w:eastAsia="et-EE"/>
        </w:rPr>
      </w:pPr>
      <w:r w:rsidRPr="00096B24">
        <w:rPr>
          <w:rFonts w:eastAsia="Calibri" w:cs="Times New Roman"/>
          <w:color w:val="000000"/>
          <w:szCs w:val="24"/>
          <w:lang w:eastAsia="et-EE"/>
        </w:rPr>
        <w:t xml:space="preserve">Hinnang </w:t>
      </w:r>
      <w:r w:rsidRPr="00096B24">
        <w:rPr>
          <w:rFonts w:eastAsia="Calibri" w:cs="Times New Roman"/>
          <w:szCs w:val="24"/>
          <w:lang w:eastAsia="et-EE"/>
        </w:rPr>
        <w:t>tervishoiuteenuste osutamist tõendavate dokumentide kohta</w:t>
      </w:r>
    </w:p>
    <w:tbl>
      <w:tblPr>
        <w:tblW w:w="96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7"/>
        <w:gridCol w:w="1569"/>
        <w:gridCol w:w="1843"/>
        <w:gridCol w:w="2126"/>
        <w:gridCol w:w="1559"/>
      </w:tblGrid>
      <w:tr w:rsidR="00AB3B94" w:rsidRPr="00096B24" w14:paraId="3E332BF9" w14:textId="77777777" w:rsidTr="00AB3B94">
        <w:trPr>
          <w:trHeight w:val="20"/>
        </w:trPr>
        <w:tc>
          <w:tcPr>
            <w:tcW w:w="2557" w:type="dxa"/>
            <w:tcBorders>
              <w:bottom w:val="single" w:sz="4" w:space="0" w:color="auto"/>
            </w:tcBorders>
            <w:shd w:val="clear" w:color="auto" w:fill="B8CCE4"/>
            <w:vAlign w:val="center"/>
          </w:tcPr>
          <w:p w14:paraId="4F3BD5E6"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bookmarkStart w:id="0" w:name="_Hlk56672252"/>
            <w:r w:rsidRPr="00096B24">
              <w:rPr>
                <w:rFonts w:ascii="Times New Roman" w:eastAsia="Calibri" w:hAnsi="Times New Roman" w:cs="Times New Roman"/>
                <w:noProof/>
                <w:sz w:val="24"/>
                <w:szCs w:val="24"/>
                <w:lang w:eastAsia="et-EE"/>
              </w:rPr>
              <w:t>Hinnatud ravidokumentide liik</w:t>
            </w:r>
          </w:p>
        </w:tc>
        <w:tc>
          <w:tcPr>
            <w:tcW w:w="1569" w:type="dxa"/>
            <w:tcBorders>
              <w:bottom w:val="single" w:sz="4" w:space="0" w:color="auto"/>
            </w:tcBorders>
            <w:shd w:val="clear" w:color="auto" w:fill="B8CCE4"/>
            <w:vAlign w:val="center"/>
          </w:tcPr>
          <w:p w14:paraId="4589A834"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Hinnatud ravidokumentide arv</w:t>
            </w:r>
          </w:p>
        </w:tc>
        <w:tc>
          <w:tcPr>
            <w:tcW w:w="1843" w:type="dxa"/>
            <w:tcBorders>
              <w:bottom w:val="single" w:sz="4" w:space="0" w:color="auto"/>
            </w:tcBorders>
            <w:shd w:val="clear" w:color="auto" w:fill="B8CCE4"/>
          </w:tcPr>
          <w:p w14:paraId="4D06AFF3"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iCs/>
                <w:noProof/>
                <w:sz w:val="24"/>
                <w:szCs w:val="24"/>
                <w:lang w:eastAsia="et-EE"/>
              </w:rPr>
              <w:t xml:space="preserve">RkhDok </w:t>
            </w:r>
            <w:r w:rsidRPr="00096B24">
              <w:rPr>
                <w:rFonts w:ascii="Times New Roman" w:eastAsia="Calibri" w:hAnsi="Times New Roman" w:cs="Times New Roman"/>
                <w:noProof/>
                <w:sz w:val="24"/>
                <w:szCs w:val="24"/>
                <w:lang w:eastAsia="et-EE"/>
              </w:rPr>
              <w:t>arv (%*), mille osas tehti märkused (nõudeavaldusi ei esitatud)</w:t>
            </w:r>
          </w:p>
        </w:tc>
        <w:tc>
          <w:tcPr>
            <w:tcW w:w="2126" w:type="dxa"/>
            <w:tcBorders>
              <w:bottom w:val="single" w:sz="4" w:space="0" w:color="auto"/>
            </w:tcBorders>
            <w:shd w:val="clear" w:color="auto" w:fill="B8CCE4"/>
            <w:vAlign w:val="center"/>
          </w:tcPr>
          <w:p w14:paraId="1498EE0C"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highlight w:val="yellow"/>
                <w:lang w:eastAsia="et-EE"/>
              </w:rPr>
            </w:pPr>
            <w:r w:rsidRPr="00096B24">
              <w:rPr>
                <w:rFonts w:ascii="Times New Roman" w:eastAsia="Calibri" w:hAnsi="Times New Roman" w:cs="Times New Roman"/>
                <w:noProof/>
                <w:sz w:val="24"/>
                <w:szCs w:val="24"/>
                <w:lang w:eastAsia="et-EE"/>
              </w:rPr>
              <w:t xml:space="preserve">Hindamise tulemusel </w:t>
            </w:r>
            <w:r w:rsidRPr="00096B24">
              <w:rPr>
                <w:rFonts w:ascii="Times New Roman" w:eastAsia="Calibri" w:hAnsi="Times New Roman" w:cs="Times New Roman"/>
                <w:noProof/>
                <w:color w:val="000000"/>
                <w:sz w:val="24"/>
                <w:szCs w:val="24"/>
                <w:lang w:eastAsia="et-EE"/>
              </w:rPr>
              <w:t xml:space="preserve">NO-le nõudeavalduse koostamiseks esitatud </w:t>
            </w:r>
            <w:r w:rsidRPr="00096B24">
              <w:rPr>
                <w:rFonts w:ascii="Times New Roman" w:eastAsia="Calibri" w:hAnsi="Times New Roman" w:cs="Times New Roman"/>
                <w:iCs/>
                <w:noProof/>
                <w:sz w:val="24"/>
                <w:szCs w:val="24"/>
                <w:lang w:eastAsia="et-EE"/>
              </w:rPr>
              <w:t>RkhDok</w:t>
            </w:r>
            <w:r w:rsidRPr="00096B24">
              <w:rPr>
                <w:rFonts w:ascii="Times New Roman" w:eastAsia="Calibri" w:hAnsi="Times New Roman" w:cs="Times New Roman"/>
                <w:noProof/>
                <w:sz w:val="24"/>
                <w:szCs w:val="24"/>
                <w:lang w:eastAsia="et-EE"/>
              </w:rPr>
              <w:t xml:space="preserve"> ar</w:t>
            </w:r>
            <w:r w:rsidRPr="00096B24">
              <w:rPr>
                <w:rFonts w:ascii="Times New Roman" w:eastAsia="Calibri" w:hAnsi="Times New Roman" w:cs="Times New Roman"/>
                <w:noProof/>
                <w:color w:val="000000"/>
                <w:sz w:val="24"/>
                <w:szCs w:val="24"/>
                <w:lang w:eastAsia="et-EE"/>
              </w:rPr>
              <w:t>v (%*)</w:t>
            </w:r>
          </w:p>
        </w:tc>
        <w:tc>
          <w:tcPr>
            <w:tcW w:w="1559" w:type="dxa"/>
            <w:tcBorders>
              <w:bottom w:val="single" w:sz="4" w:space="0" w:color="auto"/>
            </w:tcBorders>
            <w:shd w:val="clear" w:color="auto" w:fill="B8CCE4"/>
            <w:vAlign w:val="center"/>
          </w:tcPr>
          <w:p w14:paraId="49F103FF"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highlight w:val="yellow"/>
                <w:lang w:eastAsia="et-EE"/>
              </w:rPr>
            </w:pPr>
            <w:r w:rsidRPr="00096B24">
              <w:rPr>
                <w:rFonts w:ascii="Times New Roman" w:eastAsia="Calibri" w:hAnsi="Times New Roman" w:cs="Times New Roman"/>
                <w:noProof/>
                <w:sz w:val="24"/>
                <w:szCs w:val="24"/>
                <w:lang w:eastAsia="et-EE"/>
              </w:rPr>
              <w:t xml:space="preserve">NO-le </w:t>
            </w:r>
            <w:r w:rsidRPr="00096B24">
              <w:rPr>
                <w:rFonts w:ascii="Times New Roman" w:eastAsia="Calibri" w:hAnsi="Times New Roman" w:cs="Times New Roman"/>
                <w:noProof/>
                <w:color w:val="000000"/>
                <w:sz w:val="24"/>
                <w:szCs w:val="24"/>
                <w:lang w:eastAsia="et-EE"/>
              </w:rPr>
              <w:t>nõudeavalduse koostamiseks esitatud</w:t>
            </w:r>
            <w:r w:rsidRPr="00096B24">
              <w:rPr>
                <w:rFonts w:ascii="Times New Roman" w:eastAsia="Calibri" w:hAnsi="Times New Roman" w:cs="Times New Roman"/>
                <w:noProof/>
                <w:sz w:val="24"/>
                <w:szCs w:val="24"/>
                <w:lang w:eastAsia="et-EE"/>
              </w:rPr>
              <w:t xml:space="preserve"> nõude summa (EUR), %**</w:t>
            </w:r>
          </w:p>
        </w:tc>
      </w:tr>
      <w:tr w:rsidR="00AB3B94" w:rsidRPr="00096B24" w14:paraId="62240C6D" w14:textId="77777777" w:rsidTr="00AB3B94">
        <w:trPr>
          <w:cantSplit/>
          <w:trHeight w:val="20"/>
        </w:trPr>
        <w:tc>
          <w:tcPr>
            <w:tcW w:w="2557" w:type="dxa"/>
          </w:tcPr>
          <w:p w14:paraId="4C2ABD3B"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Tervisekaart üldarstiabis</w:t>
            </w:r>
          </w:p>
        </w:tc>
        <w:tc>
          <w:tcPr>
            <w:tcW w:w="1569" w:type="dxa"/>
          </w:tcPr>
          <w:p w14:paraId="1EAA6F1B"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0</w:t>
            </w:r>
          </w:p>
        </w:tc>
        <w:tc>
          <w:tcPr>
            <w:tcW w:w="1843" w:type="dxa"/>
          </w:tcPr>
          <w:p w14:paraId="0B751D27"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0</w:t>
            </w:r>
          </w:p>
        </w:tc>
        <w:tc>
          <w:tcPr>
            <w:tcW w:w="2126" w:type="dxa"/>
          </w:tcPr>
          <w:p w14:paraId="26EC1971"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highlight w:val="yellow"/>
                <w:lang w:eastAsia="et-EE"/>
              </w:rPr>
            </w:pPr>
            <w:r w:rsidRPr="00096B24">
              <w:rPr>
                <w:rFonts w:ascii="Times New Roman" w:eastAsia="Calibri" w:hAnsi="Times New Roman" w:cs="Times New Roman"/>
                <w:noProof/>
                <w:sz w:val="24"/>
                <w:szCs w:val="24"/>
                <w:lang w:eastAsia="et-EE"/>
              </w:rPr>
              <w:t>0</w:t>
            </w:r>
          </w:p>
        </w:tc>
        <w:tc>
          <w:tcPr>
            <w:tcW w:w="1559" w:type="dxa"/>
          </w:tcPr>
          <w:p w14:paraId="4A98C756"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highlight w:val="yellow"/>
                <w:lang w:eastAsia="et-EE"/>
              </w:rPr>
            </w:pPr>
            <w:r w:rsidRPr="00096B24">
              <w:rPr>
                <w:rFonts w:ascii="Times New Roman" w:eastAsia="Calibri" w:hAnsi="Times New Roman" w:cs="Times New Roman"/>
                <w:noProof/>
                <w:sz w:val="24"/>
                <w:szCs w:val="24"/>
                <w:lang w:eastAsia="et-EE"/>
              </w:rPr>
              <w:t>0</w:t>
            </w:r>
          </w:p>
        </w:tc>
      </w:tr>
      <w:tr w:rsidR="00AB3B94" w:rsidRPr="00096B24" w14:paraId="59856B41" w14:textId="77777777" w:rsidTr="00AB3B94">
        <w:trPr>
          <w:cantSplit/>
          <w:trHeight w:val="20"/>
        </w:trPr>
        <w:tc>
          <w:tcPr>
            <w:tcW w:w="2557" w:type="dxa"/>
          </w:tcPr>
          <w:p w14:paraId="1BFD97CD"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Tervisekaart eriarstiabis</w:t>
            </w:r>
          </w:p>
        </w:tc>
        <w:tc>
          <w:tcPr>
            <w:tcW w:w="1569" w:type="dxa"/>
          </w:tcPr>
          <w:p w14:paraId="6AB56405" w14:textId="089FB2F1" w:rsidR="00AB3B94" w:rsidRPr="00096B24" w:rsidRDefault="00AC2C33"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0</w:t>
            </w:r>
          </w:p>
        </w:tc>
        <w:tc>
          <w:tcPr>
            <w:tcW w:w="1843" w:type="dxa"/>
          </w:tcPr>
          <w:p w14:paraId="4BCAF7C5"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0</w:t>
            </w:r>
          </w:p>
        </w:tc>
        <w:tc>
          <w:tcPr>
            <w:tcW w:w="2126" w:type="dxa"/>
          </w:tcPr>
          <w:p w14:paraId="4490263F"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highlight w:val="yellow"/>
                <w:lang w:eastAsia="et-EE"/>
              </w:rPr>
            </w:pPr>
            <w:r w:rsidRPr="00096B24">
              <w:rPr>
                <w:rFonts w:ascii="Times New Roman" w:eastAsia="Calibri" w:hAnsi="Times New Roman" w:cs="Times New Roman"/>
                <w:noProof/>
                <w:sz w:val="24"/>
                <w:szCs w:val="24"/>
                <w:lang w:eastAsia="et-EE"/>
              </w:rPr>
              <w:t>0</w:t>
            </w:r>
          </w:p>
        </w:tc>
        <w:tc>
          <w:tcPr>
            <w:tcW w:w="1559" w:type="dxa"/>
          </w:tcPr>
          <w:p w14:paraId="69180504"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highlight w:val="yellow"/>
                <w:lang w:eastAsia="et-EE"/>
              </w:rPr>
            </w:pPr>
            <w:r w:rsidRPr="00096B24">
              <w:rPr>
                <w:rFonts w:ascii="Times New Roman" w:eastAsia="Calibri" w:hAnsi="Times New Roman" w:cs="Times New Roman"/>
                <w:noProof/>
                <w:sz w:val="24"/>
                <w:szCs w:val="24"/>
                <w:lang w:eastAsia="et-EE"/>
              </w:rPr>
              <w:t>0</w:t>
            </w:r>
          </w:p>
        </w:tc>
      </w:tr>
      <w:tr w:rsidR="00AB3B94" w:rsidRPr="00096B24" w14:paraId="6403ADFB" w14:textId="77777777" w:rsidTr="00AB3B94">
        <w:trPr>
          <w:cantSplit/>
          <w:trHeight w:val="20"/>
        </w:trPr>
        <w:tc>
          <w:tcPr>
            <w:tcW w:w="2557" w:type="dxa"/>
          </w:tcPr>
          <w:p w14:paraId="6E707FAA"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Hambaravikaart</w:t>
            </w:r>
          </w:p>
        </w:tc>
        <w:tc>
          <w:tcPr>
            <w:tcW w:w="1569" w:type="dxa"/>
          </w:tcPr>
          <w:p w14:paraId="6CDEA1E7"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0</w:t>
            </w:r>
          </w:p>
        </w:tc>
        <w:tc>
          <w:tcPr>
            <w:tcW w:w="1843" w:type="dxa"/>
          </w:tcPr>
          <w:p w14:paraId="33F61294"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0</w:t>
            </w:r>
          </w:p>
        </w:tc>
        <w:tc>
          <w:tcPr>
            <w:tcW w:w="2126" w:type="dxa"/>
          </w:tcPr>
          <w:p w14:paraId="023394C1"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highlight w:val="yellow"/>
                <w:lang w:eastAsia="et-EE"/>
              </w:rPr>
            </w:pPr>
            <w:r w:rsidRPr="00096B24">
              <w:rPr>
                <w:rFonts w:ascii="Times New Roman" w:eastAsia="Calibri" w:hAnsi="Times New Roman" w:cs="Times New Roman"/>
                <w:noProof/>
                <w:sz w:val="24"/>
                <w:szCs w:val="24"/>
                <w:lang w:eastAsia="et-EE"/>
              </w:rPr>
              <w:t>0</w:t>
            </w:r>
          </w:p>
        </w:tc>
        <w:tc>
          <w:tcPr>
            <w:tcW w:w="1559" w:type="dxa"/>
          </w:tcPr>
          <w:p w14:paraId="0FDE738D"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highlight w:val="yellow"/>
                <w:lang w:eastAsia="et-EE"/>
              </w:rPr>
            </w:pPr>
            <w:r w:rsidRPr="00096B24">
              <w:rPr>
                <w:rFonts w:ascii="Times New Roman" w:eastAsia="Calibri" w:hAnsi="Times New Roman" w:cs="Times New Roman"/>
                <w:noProof/>
                <w:sz w:val="24"/>
                <w:szCs w:val="24"/>
                <w:lang w:eastAsia="et-EE"/>
              </w:rPr>
              <w:t>0</w:t>
            </w:r>
          </w:p>
        </w:tc>
      </w:tr>
      <w:tr w:rsidR="00AB3B94" w:rsidRPr="00096B24" w14:paraId="09170EB2" w14:textId="77777777" w:rsidTr="00AB3B94">
        <w:trPr>
          <w:cantSplit/>
          <w:trHeight w:val="20"/>
        </w:trPr>
        <w:tc>
          <w:tcPr>
            <w:tcW w:w="2557" w:type="dxa"/>
          </w:tcPr>
          <w:p w14:paraId="7C366B25" w14:textId="0350CCA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 xml:space="preserve">Haiguslugu </w:t>
            </w:r>
          </w:p>
        </w:tc>
        <w:tc>
          <w:tcPr>
            <w:tcW w:w="1569" w:type="dxa"/>
          </w:tcPr>
          <w:p w14:paraId="4EB95909" w14:textId="08C312EB" w:rsidR="00AB3B94" w:rsidRPr="00096B24" w:rsidRDefault="00AC2C33"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140</w:t>
            </w:r>
          </w:p>
        </w:tc>
        <w:tc>
          <w:tcPr>
            <w:tcW w:w="1843" w:type="dxa"/>
          </w:tcPr>
          <w:p w14:paraId="37998C01" w14:textId="433073C9" w:rsidR="00AB3B94" w:rsidRPr="00096B24" w:rsidRDefault="00A560A1"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0</w:t>
            </w:r>
          </w:p>
        </w:tc>
        <w:tc>
          <w:tcPr>
            <w:tcW w:w="2126" w:type="dxa"/>
          </w:tcPr>
          <w:p w14:paraId="189CE51F" w14:textId="2953E46D" w:rsidR="00AB3B94" w:rsidRPr="00096B24" w:rsidRDefault="00317D79"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1 (</w:t>
            </w:r>
            <w:r w:rsidR="00A560A1" w:rsidRPr="00096B24">
              <w:rPr>
                <w:rFonts w:ascii="Times New Roman" w:eastAsia="Calibri" w:hAnsi="Times New Roman" w:cs="Times New Roman"/>
                <w:noProof/>
                <w:sz w:val="24"/>
                <w:szCs w:val="24"/>
                <w:lang w:eastAsia="et-EE"/>
              </w:rPr>
              <w:t>0,71</w:t>
            </w:r>
            <w:r w:rsidRPr="00096B24">
              <w:rPr>
                <w:rFonts w:ascii="Times New Roman" w:eastAsia="Calibri" w:hAnsi="Times New Roman" w:cs="Times New Roman"/>
                <w:noProof/>
                <w:sz w:val="24"/>
                <w:szCs w:val="24"/>
                <w:lang w:eastAsia="et-EE"/>
              </w:rPr>
              <w:t>%)</w:t>
            </w:r>
          </w:p>
        </w:tc>
        <w:tc>
          <w:tcPr>
            <w:tcW w:w="1559" w:type="dxa"/>
          </w:tcPr>
          <w:p w14:paraId="560E992C" w14:textId="7EF70945" w:rsidR="00AB3B94" w:rsidRPr="00096B24" w:rsidRDefault="00317D79"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hAnsi="Times New Roman" w:cs="Times New Roman"/>
                <w:sz w:val="24"/>
                <w:szCs w:val="24"/>
              </w:rPr>
              <w:t>234,46 (0,04%)</w:t>
            </w:r>
          </w:p>
        </w:tc>
      </w:tr>
      <w:tr w:rsidR="00AB3B94" w:rsidRPr="00096B24" w14:paraId="6FBFF311" w14:textId="77777777" w:rsidTr="00AB3B94">
        <w:trPr>
          <w:cantSplit/>
          <w:trHeight w:val="20"/>
        </w:trPr>
        <w:tc>
          <w:tcPr>
            <w:tcW w:w="2557" w:type="dxa"/>
            <w:tcBorders>
              <w:bottom w:val="single" w:sz="4" w:space="0" w:color="auto"/>
            </w:tcBorders>
          </w:tcPr>
          <w:p w14:paraId="549B70BE"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Muu</w:t>
            </w:r>
          </w:p>
        </w:tc>
        <w:tc>
          <w:tcPr>
            <w:tcW w:w="1569" w:type="dxa"/>
            <w:tcBorders>
              <w:bottom w:val="single" w:sz="4" w:space="0" w:color="auto"/>
            </w:tcBorders>
          </w:tcPr>
          <w:p w14:paraId="6A411E0F"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0</w:t>
            </w:r>
          </w:p>
        </w:tc>
        <w:tc>
          <w:tcPr>
            <w:tcW w:w="1843" w:type="dxa"/>
            <w:tcBorders>
              <w:bottom w:val="single" w:sz="4" w:space="0" w:color="auto"/>
            </w:tcBorders>
          </w:tcPr>
          <w:p w14:paraId="5F2B1B03"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0</w:t>
            </w:r>
          </w:p>
        </w:tc>
        <w:tc>
          <w:tcPr>
            <w:tcW w:w="2126" w:type="dxa"/>
            <w:tcBorders>
              <w:bottom w:val="single" w:sz="4" w:space="0" w:color="auto"/>
            </w:tcBorders>
          </w:tcPr>
          <w:p w14:paraId="13B81BB5"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highlight w:val="yellow"/>
                <w:lang w:eastAsia="et-EE"/>
              </w:rPr>
            </w:pPr>
            <w:r w:rsidRPr="00096B24">
              <w:rPr>
                <w:rFonts w:ascii="Times New Roman" w:eastAsia="Calibri" w:hAnsi="Times New Roman" w:cs="Times New Roman"/>
                <w:noProof/>
                <w:sz w:val="24"/>
                <w:szCs w:val="24"/>
                <w:lang w:eastAsia="et-EE"/>
              </w:rPr>
              <w:t>0</w:t>
            </w:r>
          </w:p>
        </w:tc>
        <w:tc>
          <w:tcPr>
            <w:tcW w:w="1559" w:type="dxa"/>
            <w:tcBorders>
              <w:bottom w:val="single" w:sz="4" w:space="0" w:color="auto"/>
            </w:tcBorders>
          </w:tcPr>
          <w:p w14:paraId="190BAB86" w14:textId="77777777" w:rsidR="00AB3B94" w:rsidRPr="00096B24" w:rsidRDefault="00AB3B94" w:rsidP="00096B24">
            <w:pPr>
              <w:spacing w:after="0" w:line="240" w:lineRule="auto"/>
              <w:ind w:left="57"/>
              <w:jc w:val="both"/>
              <w:rPr>
                <w:rFonts w:ascii="Times New Roman" w:eastAsia="Calibri" w:hAnsi="Times New Roman" w:cs="Times New Roman"/>
                <w:noProof/>
                <w:sz w:val="24"/>
                <w:szCs w:val="24"/>
                <w:highlight w:val="yellow"/>
                <w:lang w:eastAsia="et-EE"/>
              </w:rPr>
            </w:pPr>
            <w:r w:rsidRPr="00096B24">
              <w:rPr>
                <w:rFonts w:ascii="Times New Roman" w:eastAsia="Calibri" w:hAnsi="Times New Roman" w:cs="Times New Roman"/>
                <w:noProof/>
                <w:sz w:val="24"/>
                <w:szCs w:val="24"/>
                <w:lang w:eastAsia="et-EE"/>
              </w:rPr>
              <w:t>0</w:t>
            </w:r>
          </w:p>
        </w:tc>
      </w:tr>
      <w:tr w:rsidR="00AB3B94" w:rsidRPr="00096B24" w14:paraId="71AD4B14" w14:textId="77777777" w:rsidTr="00AB3B94">
        <w:trPr>
          <w:cantSplit/>
          <w:trHeight w:val="20"/>
        </w:trPr>
        <w:tc>
          <w:tcPr>
            <w:tcW w:w="2557" w:type="dxa"/>
            <w:shd w:val="clear" w:color="auto" w:fill="95B3D7"/>
          </w:tcPr>
          <w:p w14:paraId="31DCC6A4" w14:textId="77777777" w:rsidR="00AB3B94" w:rsidRPr="00096B24" w:rsidRDefault="00AB3B94" w:rsidP="00096B24">
            <w:pPr>
              <w:spacing w:after="0" w:line="240" w:lineRule="auto"/>
              <w:ind w:left="170"/>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KOKKU</w:t>
            </w:r>
          </w:p>
        </w:tc>
        <w:tc>
          <w:tcPr>
            <w:tcW w:w="1569" w:type="dxa"/>
            <w:shd w:val="clear" w:color="auto" w:fill="95B3D7"/>
          </w:tcPr>
          <w:p w14:paraId="7DBD57F8" w14:textId="46C25BD0" w:rsidR="00AB3B94" w:rsidRPr="00096B24" w:rsidRDefault="00AB3B94" w:rsidP="00096B24">
            <w:pPr>
              <w:spacing w:after="0" w:line="240" w:lineRule="auto"/>
              <w:jc w:val="both"/>
              <w:rPr>
                <w:rFonts w:ascii="Times New Roman" w:eastAsia="Calibri" w:hAnsi="Times New Roman" w:cs="Times New Roman"/>
                <w:noProof/>
                <w:sz w:val="24"/>
                <w:szCs w:val="24"/>
                <w:lang w:eastAsia="et-EE"/>
              </w:rPr>
            </w:pPr>
            <w:r w:rsidRPr="00096B24">
              <w:rPr>
                <w:rFonts w:ascii="Times New Roman" w:eastAsia="Calibri" w:hAnsi="Times New Roman" w:cs="Times New Roman"/>
                <w:noProof/>
                <w:sz w:val="24"/>
                <w:szCs w:val="24"/>
                <w:lang w:eastAsia="et-EE"/>
              </w:rPr>
              <w:t xml:space="preserve"> </w:t>
            </w:r>
            <w:r w:rsidR="00AC2C33" w:rsidRPr="00096B24">
              <w:rPr>
                <w:rFonts w:ascii="Times New Roman" w:eastAsia="Calibri" w:hAnsi="Times New Roman" w:cs="Times New Roman"/>
                <w:noProof/>
                <w:sz w:val="24"/>
                <w:szCs w:val="24"/>
                <w:lang w:eastAsia="et-EE"/>
              </w:rPr>
              <w:t>140</w:t>
            </w:r>
          </w:p>
        </w:tc>
        <w:tc>
          <w:tcPr>
            <w:tcW w:w="1843" w:type="dxa"/>
            <w:shd w:val="clear" w:color="auto" w:fill="95B3D7"/>
          </w:tcPr>
          <w:p w14:paraId="63E4AF7D" w14:textId="77777777" w:rsidR="00AB3B94" w:rsidRPr="00096B24" w:rsidRDefault="00AB3B94" w:rsidP="00096B24">
            <w:pPr>
              <w:spacing w:after="0" w:line="240" w:lineRule="auto"/>
              <w:jc w:val="both"/>
              <w:rPr>
                <w:rFonts w:ascii="Times New Roman" w:eastAsia="Calibri" w:hAnsi="Times New Roman" w:cs="Times New Roman"/>
                <w:noProof/>
                <w:sz w:val="24"/>
                <w:szCs w:val="24"/>
                <w:highlight w:val="yellow"/>
                <w:lang w:eastAsia="et-EE"/>
              </w:rPr>
            </w:pPr>
            <w:r w:rsidRPr="00096B24">
              <w:rPr>
                <w:rFonts w:ascii="Times New Roman" w:eastAsia="Calibri" w:hAnsi="Times New Roman" w:cs="Times New Roman"/>
                <w:noProof/>
                <w:sz w:val="24"/>
                <w:szCs w:val="24"/>
                <w:lang w:eastAsia="et-EE"/>
              </w:rPr>
              <w:t xml:space="preserve"> 0</w:t>
            </w:r>
          </w:p>
        </w:tc>
        <w:tc>
          <w:tcPr>
            <w:tcW w:w="2126" w:type="dxa"/>
            <w:shd w:val="clear" w:color="auto" w:fill="95B3D7"/>
          </w:tcPr>
          <w:p w14:paraId="572D4BEA" w14:textId="77777777" w:rsidR="00AB3B94" w:rsidRPr="00096B24" w:rsidRDefault="00AB3B94" w:rsidP="00096B24">
            <w:pPr>
              <w:spacing w:after="0" w:line="240" w:lineRule="auto"/>
              <w:jc w:val="both"/>
              <w:rPr>
                <w:rFonts w:ascii="Times New Roman" w:eastAsia="Calibri" w:hAnsi="Times New Roman" w:cs="Times New Roman"/>
                <w:noProof/>
                <w:sz w:val="24"/>
                <w:szCs w:val="24"/>
                <w:highlight w:val="yellow"/>
                <w:lang w:eastAsia="et-EE"/>
              </w:rPr>
            </w:pPr>
            <w:r w:rsidRPr="00096B24">
              <w:rPr>
                <w:rFonts w:ascii="Times New Roman" w:eastAsia="Calibri" w:hAnsi="Times New Roman" w:cs="Times New Roman"/>
                <w:noProof/>
                <w:sz w:val="24"/>
                <w:szCs w:val="24"/>
                <w:lang w:eastAsia="et-EE"/>
              </w:rPr>
              <w:t xml:space="preserve"> 0</w:t>
            </w:r>
          </w:p>
        </w:tc>
        <w:tc>
          <w:tcPr>
            <w:tcW w:w="1559" w:type="dxa"/>
            <w:shd w:val="clear" w:color="auto" w:fill="95B3D7"/>
          </w:tcPr>
          <w:p w14:paraId="7FC6335C" w14:textId="77777777" w:rsidR="00AB3B94" w:rsidRPr="00096B24" w:rsidRDefault="00AB3B94" w:rsidP="00096B24">
            <w:pPr>
              <w:spacing w:after="0" w:line="240" w:lineRule="auto"/>
              <w:jc w:val="both"/>
              <w:rPr>
                <w:rFonts w:ascii="Times New Roman" w:eastAsia="Calibri" w:hAnsi="Times New Roman" w:cs="Times New Roman"/>
                <w:noProof/>
                <w:sz w:val="24"/>
                <w:szCs w:val="24"/>
                <w:highlight w:val="yellow"/>
                <w:lang w:eastAsia="et-EE"/>
              </w:rPr>
            </w:pPr>
            <w:r w:rsidRPr="00096B24">
              <w:rPr>
                <w:rFonts w:ascii="Times New Roman" w:eastAsia="Calibri" w:hAnsi="Times New Roman" w:cs="Times New Roman"/>
                <w:noProof/>
                <w:sz w:val="24"/>
                <w:szCs w:val="24"/>
                <w:lang w:eastAsia="et-EE"/>
              </w:rPr>
              <w:t xml:space="preserve"> 0</w:t>
            </w:r>
          </w:p>
        </w:tc>
      </w:tr>
    </w:tbl>
    <w:bookmarkEnd w:id="0"/>
    <w:p w14:paraId="20262572" w14:textId="3F76EB96" w:rsidR="00AB3B94" w:rsidRPr="00096B24" w:rsidRDefault="00AB3B94" w:rsidP="00096B24">
      <w:pPr>
        <w:spacing w:before="40" w:after="0" w:line="240" w:lineRule="auto"/>
        <w:jc w:val="both"/>
        <w:rPr>
          <w:rFonts w:ascii="Times New Roman" w:eastAsia="Calibri" w:hAnsi="Times New Roman" w:cs="Times New Roman"/>
          <w:bCs/>
          <w:noProof/>
          <w:sz w:val="24"/>
          <w:szCs w:val="24"/>
          <w:lang w:eastAsia="et-EE"/>
        </w:rPr>
      </w:pPr>
      <w:r w:rsidRPr="00096B24">
        <w:rPr>
          <w:rFonts w:ascii="Times New Roman" w:eastAsia="Calibri" w:hAnsi="Times New Roman" w:cs="Times New Roman"/>
          <w:bCs/>
          <w:noProof/>
          <w:sz w:val="24"/>
          <w:szCs w:val="24"/>
          <w:lang w:eastAsia="et-EE"/>
        </w:rPr>
        <w:t>*protsent hinnatud (planeeritud) RhkDok arvust (Tabel 1.1</w:t>
      </w:r>
      <w:r w:rsidR="006E2EA7" w:rsidRPr="00096B24">
        <w:rPr>
          <w:rFonts w:ascii="Times New Roman" w:eastAsia="Calibri" w:hAnsi="Times New Roman" w:cs="Times New Roman"/>
          <w:bCs/>
          <w:noProof/>
          <w:sz w:val="24"/>
          <w:szCs w:val="24"/>
          <w:lang w:eastAsia="et-EE"/>
        </w:rPr>
        <w:t xml:space="preserve"> suhtvalikuga planeeritud</w:t>
      </w:r>
      <w:r w:rsidRPr="00096B24">
        <w:rPr>
          <w:rFonts w:ascii="Times New Roman" w:eastAsia="Calibri" w:hAnsi="Times New Roman" w:cs="Times New Roman"/>
          <w:bCs/>
          <w:noProof/>
          <w:sz w:val="24"/>
          <w:szCs w:val="24"/>
          <w:lang w:eastAsia="et-EE"/>
        </w:rPr>
        <w:t>)</w:t>
      </w:r>
    </w:p>
    <w:p w14:paraId="72773E88" w14:textId="42550932" w:rsidR="00AB3B94" w:rsidRPr="00096B24" w:rsidRDefault="00AB3B94" w:rsidP="00096B24">
      <w:pPr>
        <w:spacing w:before="40" w:after="0" w:line="240" w:lineRule="auto"/>
        <w:jc w:val="both"/>
        <w:rPr>
          <w:rFonts w:ascii="Times New Roman" w:eastAsia="Calibri" w:hAnsi="Times New Roman" w:cs="Times New Roman"/>
          <w:bCs/>
          <w:noProof/>
          <w:sz w:val="24"/>
          <w:szCs w:val="24"/>
          <w:lang w:eastAsia="et-EE"/>
        </w:rPr>
      </w:pPr>
      <w:r w:rsidRPr="00096B24">
        <w:rPr>
          <w:rFonts w:ascii="Times New Roman" w:eastAsia="Calibri" w:hAnsi="Times New Roman" w:cs="Times New Roman"/>
          <w:bCs/>
          <w:noProof/>
          <w:sz w:val="24"/>
          <w:szCs w:val="24"/>
          <w:lang w:eastAsia="et-EE"/>
        </w:rPr>
        <w:t>**protsent</w:t>
      </w:r>
      <w:r w:rsidR="00A560A1" w:rsidRPr="00096B24">
        <w:rPr>
          <w:rFonts w:ascii="Times New Roman" w:eastAsia="Calibri" w:hAnsi="Times New Roman" w:cs="Times New Roman"/>
          <w:bCs/>
          <w:noProof/>
          <w:sz w:val="24"/>
          <w:szCs w:val="24"/>
          <w:lang w:eastAsia="et-EE"/>
        </w:rPr>
        <w:t xml:space="preserve"> </w:t>
      </w:r>
      <w:r w:rsidRPr="00096B24">
        <w:rPr>
          <w:rFonts w:ascii="Times New Roman" w:eastAsia="Calibri" w:hAnsi="Times New Roman" w:cs="Times New Roman"/>
          <w:bCs/>
          <w:noProof/>
          <w:sz w:val="24"/>
          <w:szCs w:val="24"/>
          <w:lang w:eastAsia="et-EE"/>
        </w:rPr>
        <w:t>hinnatud (planeeritud) RhkDok summast</w:t>
      </w:r>
    </w:p>
    <w:p w14:paraId="63A6E97B" w14:textId="4F08D10B" w:rsidR="00AB3B94" w:rsidRPr="00096B24" w:rsidRDefault="005169FF" w:rsidP="00096B24">
      <w:pPr>
        <w:pStyle w:val="Heading1"/>
        <w:numPr>
          <w:ilvl w:val="0"/>
          <w:numId w:val="2"/>
        </w:numPr>
        <w:jc w:val="both"/>
        <w:rPr>
          <w:rFonts w:eastAsia="Calibri" w:cs="Times New Roman"/>
          <w:noProof/>
          <w:szCs w:val="24"/>
          <w:lang w:eastAsia="et-EE"/>
        </w:rPr>
      </w:pPr>
      <w:r w:rsidRPr="00096B24">
        <w:rPr>
          <w:rFonts w:eastAsia="Calibri" w:cs="Times New Roman"/>
          <w:noProof/>
          <w:szCs w:val="24"/>
          <w:lang w:eastAsia="et-EE"/>
        </w:rPr>
        <w:t>HINDAMISE ÜLEVAADE</w:t>
      </w:r>
    </w:p>
    <w:p w14:paraId="1557FA1D" w14:textId="2899746B" w:rsidR="00AB3B94" w:rsidRPr="00096B24" w:rsidRDefault="00AB3B94" w:rsidP="00096B24">
      <w:pPr>
        <w:pStyle w:val="Heading1"/>
        <w:numPr>
          <w:ilvl w:val="1"/>
          <w:numId w:val="2"/>
        </w:numPr>
        <w:jc w:val="both"/>
        <w:rPr>
          <w:rFonts w:eastAsia="Calibri" w:cs="Times New Roman"/>
          <w:noProof/>
          <w:szCs w:val="24"/>
          <w:lang w:eastAsia="et-EE"/>
        </w:rPr>
      </w:pPr>
      <w:r w:rsidRPr="00096B24">
        <w:rPr>
          <w:rFonts w:eastAsia="Calibri" w:cs="Times New Roman"/>
          <w:iCs/>
          <w:noProof/>
          <w:szCs w:val="24"/>
          <w:lang w:eastAsia="et-EE"/>
        </w:rPr>
        <w:t xml:space="preserve"> RkhDok </w:t>
      </w:r>
      <w:r w:rsidRPr="00096B24">
        <w:rPr>
          <w:rFonts w:eastAsia="Calibri" w:cs="Times New Roman"/>
          <w:noProof/>
          <w:szCs w:val="24"/>
          <w:lang w:eastAsia="et-EE"/>
        </w:rPr>
        <w:t xml:space="preserve">hindamise eesmärk </w:t>
      </w:r>
    </w:p>
    <w:p w14:paraId="39142B90" w14:textId="77777777" w:rsidR="00CF52DF" w:rsidRPr="00096B24" w:rsidRDefault="00CF52DF" w:rsidP="00096B24">
      <w:pPr>
        <w:pStyle w:val="NoSpacing"/>
        <w:jc w:val="both"/>
        <w:rPr>
          <w:rFonts w:ascii="Times New Roman" w:hAnsi="Times New Roman" w:cs="Times New Roman"/>
          <w:b/>
          <w:sz w:val="24"/>
          <w:szCs w:val="24"/>
          <w:lang w:eastAsia="et-EE"/>
        </w:rPr>
      </w:pPr>
      <w:r w:rsidRPr="00096B24">
        <w:rPr>
          <w:rFonts w:ascii="Times New Roman" w:hAnsi="Times New Roman" w:cs="Times New Roman"/>
          <w:sz w:val="24"/>
          <w:szCs w:val="24"/>
        </w:rPr>
        <w:t xml:space="preserve">Sihtvaliku eesmärk on kaardistada esmaselt puusaliigese </w:t>
      </w:r>
      <w:proofErr w:type="spellStart"/>
      <w:r w:rsidRPr="00096B24">
        <w:rPr>
          <w:rFonts w:ascii="Times New Roman" w:hAnsi="Times New Roman" w:cs="Times New Roman"/>
          <w:sz w:val="24"/>
          <w:szCs w:val="24"/>
        </w:rPr>
        <w:t>endoproteesimise</w:t>
      </w:r>
      <w:proofErr w:type="spellEnd"/>
      <w:r w:rsidRPr="00096B24">
        <w:rPr>
          <w:rFonts w:ascii="Times New Roman" w:hAnsi="Times New Roman" w:cs="Times New Roman"/>
          <w:sz w:val="24"/>
          <w:szCs w:val="24"/>
        </w:rPr>
        <w:t xml:space="preserve"> läbinud isikute raviteekond ja raviteekonna kliiniline kodeerimine diagnoosipõhiste kompleksteenuste gruppides 209D, 209E, 209O, hinnata, kas ravidokumentatsioonis ja raviarvel olev kliiniline informatsioon on korrektselt märgitud ja vastavuses kasutusel olevate klassifikaatorite (RHK-</w:t>
      </w:r>
      <w:r w:rsidRPr="00096B24">
        <w:rPr>
          <w:rFonts w:ascii="Times New Roman" w:hAnsi="Times New Roman" w:cs="Times New Roman"/>
          <w:sz w:val="24"/>
          <w:szCs w:val="24"/>
        </w:rPr>
        <w:lastRenderedPageBreak/>
        <w:t>10 ja NOMESCO) reeglitega ning kaardistada erinevate asutuste ravipraktika ja kodeerimise erisused.</w:t>
      </w:r>
    </w:p>
    <w:p w14:paraId="4E54BB0D" w14:textId="77777777" w:rsidR="00AB3B94" w:rsidRPr="00096B24" w:rsidRDefault="00AB3B94" w:rsidP="00096B24">
      <w:pPr>
        <w:spacing w:line="240" w:lineRule="auto"/>
        <w:jc w:val="both"/>
        <w:rPr>
          <w:rFonts w:ascii="Times New Roman" w:eastAsia="Calibri" w:hAnsi="Times New Roman" w:cs="Times New Roman"/>
          <w:b/>
          <w:bCs/>
          <w:noProof/>
          <w:sz w:val="24"/>
          <w:szCs w:val="24"/>
          <w:lang w:eastAsia="et-EE"/>
        </w:rPr>
      </w:pPr>
    </w:p>
    <w:p w14:paraId="356976B8" w14:textId="4219F1F9" w:rsidR="00AB3B94" w:rsidRPr="00096B24" w:rsidRDefault="00AB3B94" w:rsidP="00096B24">
      <w:pPr>
        <w:pStyle w:val="ListParagraph"/>
        <w:keepNext/>
        <w:numPr>
          <w:ilvl w:val="1"/>
          <w:numId w:val="2"/>
        </w:numPr>
        <w:spacing w:after="120"/>
        <w:jc w:val="both"/>
        <w:outlineLvl w:val="1"/>
        <w:rPr>
          <w:rFonts w:eastAsia="Calibri"/>
          <w:b/>
          <w:noProof/>
          <w:lang w:eastAsia="et-EE"/>
        </w:rPr>
      </w:pPr>
      <w:r w:rsidRPr="00096B24">
        <w:rPr>
          <w:rFonts w:eastAsia="Calibri"/>
          <w:b/>
          <w:noProof/>
          <w:lang w:eastAsia="et-EE"/>
        </w:rPr>
        <w:t xml:space="preserve">Taustainfo  </w:t>
      </w:r>
    </w:p>
    <w:p w14:paraId="37A9D6F3" w14:textId="38191797" w:rsidR="00CF52DF" w:rsidRPr="00096B24" w:rsidRDefault="00CF52DF" w:rsidP="00096B24">
      <w:pPr>
        <w:pStyle w:val="NoSpacing"/>
        <w:jc w:val="both"/>
        <w:rPr>
          <w:rFonts w:ascii="Times New Roman" w:hAnsi="Times New Roman" w:cs="Times New Roman"/>
          <w:bCs/>
          <w:sz w:val="24"/>
          <w:szCs w:val="24"/>
          <w:lang w:eastAsia="et-EE"/>
        </w:rPr>
      </w:pPr>
      <w:r w:rsidRPr="00096B24">
        <w:rPr>
          <w:rFonts w:ascii="Times New Roman" w:hAnsi="Times New Roman" w:cs="Times New Roman"/>
          <w:bCs/>
          <w:sz w:val="24"/>
          <w:szCs w:val="24"/>
          <w:lang w:eastAsia="et-EE"/>
        </w:rPr>
        <w:t xml:space="preserve">Puusaliigese </w:t>
      </w:r>
      <w:proofErr w:type="spellStart"/>
      <w:r w:rsidRPr="00096B24">
        <w:rPr>
          <w:rFonts w:ascii="Times New Roman" w:hAnsi="Times New Roman" w:cs="Times New Roman"/>
          <w:bCs/>
          <w:sz w:val="24"/>
          <w:szCs w:val="24"/>
          <w:lang w:eastAsia="et-EE"/>
        </w:rPr>
        <w:t>endoproteesimine</w:t>
      </w:r>
      <w:proofErr w:type="spellEnd"/>
      <w:r w:rsidRPr="00096B24">
        <w:rPr>
          <w:rFonts w:ascii="Times New Roman" w:hAnsi="Times New Roman" w:cs="Times New Roman"/>
          <w:bCs/>
          <w:sz w:val="24"/>
          <w:szCs w:val="24"/>
          <w:lang w:eastAsia="et-EE"/>
        </w:rPr>
        <w:t xml:space="preserve"> on vajalik kahjustunud liigese ja mõnede </w:t>
      </w:r>
      <w:proofErr w:type="spellStart"/>
      <w:r w:rsidRPr="00096B24">
        <w:rPr>
          <w:rFonts w:ascii="Times New Roman" w:hAnsi="Times New Roman" w:cs="Times New Roman"/>
          <w:bCs/>
          <w:sz w:val="24"/>
          <w:szCs w:val="24"/>
          <w:lang w:eastAsia="et-EE"/>
        </w:rPr>
        <w:t>reieluukaelamurdude</w:t>
      </w:r>
      <w:proofErr w:type="spellEnd"/>
      <w:r w:rsidRPr="00096B24">
        <w:rPr>
          <w:rFonts w:ascii="Times New Roman" w:hAnsi="Times New Roman" w:cs="Times New Roman"/>
          <w:bCs/>
          <w:sz w:val="24"/>
          <w:szCs w:val="24"/>
          <w:lang w:eastAsia="et-EE"/>
        </w:rPr>
        <w:t xml:space="preserve"> puhul. Peamiseks liigeskahjustuse põhjuseks on </w:t>
      </w:r>
      <w:proofErr w:type="spellStart"/>
      <w:r w:rsidRPr="00096B24">
        <w:rPr>
          <w:rFonts w:ascii="Times New Roman" w:hAnsi="Times New Roman" w:cs="Times New Roman"/>
          <w:bCs/>
          <w:sz w:val="24"/>
          <w:szCs w:val="24"/>
          <w:lang w:eastAsia="et-EE"/>
        </w:rPr>
        <w:t>osteoartroos</w:t>
      </w:r>
      <w:proofErr w:type="spellEnd"/>
      <w:r w:rsidRPr="00096B24">
        <w:rPr>
          <w:rFonts w:ascii="Times New Roman" w:hAnsi="Times New Roman" w:cs="Times New Roman"/>
          <w:bCs/>
          <w:sz w:val="24"/>
          <w:szCs w:val="24"/>
          <w:lang w:eastAsia="et-EE"/>
        </w:rPr>
        <w:t xml:space="preserve"> ehk liigeskõhre moondav haigus, mis põhjustab ravimitele allumatut valu, piirab liigese liikuvust ja mõjutab elukvaliteeti. </w:t>
      </w:r>
    </w:p>
    <w:p w14:paraId="09A7FE60" w14:textId="77777777" w:rsidR="00CF52DF" w:rsidRPr="00096B24" w:rsidRDefault="00CF52DF" w:rsidP="00096B24">
      <w:pPr>
        <w:pStyle w:val="NoSpacing"/>
        <w:ind w:left="360"/>
        <w:jc w:val="both"/>
        <w:rPr>
          <w:rFonts w:ascii="Times New Roman" w:hAnsi="Times New Roman" w:cs="Times New Roman"/>
          <w:bCs/>
          <w:sz w:val="24"/>
          <w:szCs w:val="24"/>
          <w:lang w:eastAsia="et-EE"/>
        </w:rPr>
      </w:pPr>
    </w:p>
    <w:p w14:paraId="0CD6510A" w14:textId="77777777" w:rsidR="00CF52DF" w:rsidRPr="00096B24" w:rsidRDefault="00CF52DF" w:rsidP="00096B24">
      <w:pPr>
        <w:pStyle w:val="NoSpacing"/>
        <w:jc w:val="both"/>
        <w:rPr>
          <w:rFonts w:ascii="Times New Roman" w:hAnsi="Times New Roman" w:cs="Times New Roman"/>
          <w:bCs/>
          <w:sz w:val="24"/>
          <w:szCs w:val="24"/>
          <w:lang w:eastAsia="et-EE"/>
        </w:rPr>
      </w:pPr>
      <w:r w:rsidRPr="00096B24">
        <w:rPr>
          <w:rFonts w:ascii="Times New Roman" w:hAnsi="Times New Roman" w:cs="Times New Roman"/>
          <w:bCs/>
          <w:sz w:val="24"/>
          <w:szCs w:val="24"/>
          <w:lang w:eastAsia="et-EE"/>
        </w:rPr>
        <w:t xml:space="preserve">Puusaliigese </w:t>
      </w:r>
      <w:proofErr w:type="spellStart"/>
      <w:r w:rsidRPr="00096B24">
        <w:rPr>
          <w:rFonts w:ascii="Times New Roman" w:hAnsi="Times New Roman" w:cs="Times New Roman"/>
          <w:bCs/>
          <w:sz w:val="24"/>
          <w:szCs w:val="24"/>
          <w:lang w:eastAsia="et-EE"/>
        </w:rPr>
        <w:t>endoproteesimine</w:t>
      </w:r>
      <w:proofErr w:type="spellEnd"/>
      <w:r w:rsidRPr="00096B24">
        <w:rPr>
          <w:rFonts w:ascii="Times New Roman" w:hAnsi="Times New Roman" w:cs="Times New Roman"/>
          <w:bCs/>
          <w:sz w:val="24"/>
          <w:szCs w:val="24"/>
          <w:lang w:eastAsia="et-EE"/>
        </w:rPr>
        <w:t xml:space="preserve"> on üks sagedamini teostatavaid operatsioone, mille arv kasvab. Kui 2015a. läbis totaalse puusaliigese </w:t>
      </w:r>
      <w:proofErr w:type="spellStart"/>
      <w:r w:rsidRPr="00096B24">
        <w:rPr>
          <w:rFonts w:ascii="Times New Roman" w:hAnsi="Times New Roman" w:cs="Times New Roman"/>
          <w:bCs/>
          <w:sz w:val="24"/>
          <w:szCs w:val="24"/>
          <w:lang w:eastAsia="et-EE"/>
        </w:rPr>
        <w:t>endoproteesimise</w:t>
      </w:r>
      <w:proofErr w:type="spellEnd"/>
      <w:r w:rsidRPr="00096B24">
        <w:rPr>
          <w:rFonts w:ascii="Times New Roman" w:hAnsi="Times New Roman" w:cs="Times New Roman"/>
          <w:bCs/>
          <w:sz w:val="24"/>
          <w:szCs w:val="24"/>
          <w:lang w:eastAsia="et-EE"/>
        </w:rPr>
        <w:t xml:space="preserve"> umbes 1500 isikut, siis 2019.a juba ligi 2000 isikut. </w:t>
      </w:r>
      <w:proofErr w:type="spellStart"/>
      <w:r w:rsidRPr="00096B24">
        <w:rPr>
          <w:rFonts w:ascii="Times New Roman" w:hAnsi="Times New Roman" w:cs="Times New Roman"/>
          <w:bCs/>
          <w:sz w:val="24"/>
          <w:szCs w:val="24"/>
          <w:lang w:eastAsia="et-EE"/>
        </w:rPr>
        <w:t>Endoproteesimise</w:t>
      </w:r>
      <w:proofErr w:type="spellEnd"/>
      <w:r w:rsidRPr="00096B24">
        <w:rPr>
          <w:rFonts w:ascii="Times New Roman" w:hAnsi="Times New Roman" w:cs="Times New Roman"/>
          <w:bCs/>
          <w:sz w:val="24"/>
          <w:szCs w:val="24"/>
          <w:lang w:eastAsia="et-EE"/>
        </w:rPr>
        <w:t xml:space="preserve"> raviteekond on pikk, hõlmates ravijärjekorda (kuni 3 a), operatsiooni, taastusravi ning järelkontrolli 1 aasta pärast operatsiooni. Raviteekonnaga on seotud mitmed osapooled – perearst, pereõde, ortopeed, haigla õde, füsioterapeut, taastusarst, sotsiaaltöötaja jne. Parima võimaliku ravitulemuse saavutamiseks on vajalik nii raviteekonna etappides patsiendikäsitluse ühtlustamine kui ka etappide üleminekute ühtlustamine. </w:t>
      </w:r>
    </w:p>
    <w:p w14:paraId="14EFADE6" w14:textId="77777777" w:rsidR="00CF52DF" w:rsidRPr="00096B24" w:rsidRDefault="00CF52DF" w:rsidP="00096B24">
      <w:pPr>
        <w:pStyle w:val="NoSpacing"/>
        <w:ind w:left="360"/>
        <w:jc w:val="both"/>
        <w:rPr>
          <w:rFonts w:ascii="Times New Roman" w:hAnsi="Times New Roman" w:cs="Times New Roman"/>
          <w:bCs/>
          <w:sz w:val="24"/>
          <w:szCs w:val="24"/>
          <w:lang w:eastAsia="et-EE"/>
        </w:rPr>
      </w:pPr>
    </w:p>
    <w:p w14:paraId="49EF0C0C" w14:textId="77777777" w:rsidR="00CF52DF" w:rsidRPr="00096B24" w:rsidRDefault="00CF52DF" w:rsidP="00096B24">
      <w:pPr>
        <w:pStyle w:val="NoSpacing"/>
        <w:jc w:val="both"/>
        <w:rPr>
          <w:rFonts w:ascii="Times New Roman" w:hAnsi="Times New Roman" w:cs="Times New Roman"/>
          <w:bCs/>
          <w:sz w:val="24"/>
          <w:szCs w:val="24"/>
          <w:lang w:eastAsia="et-EE"/>
        </w:rPr>
      </w:pPr>
      <w:r w:rsidRPr="00096B24">
        <w:rPr>
          <w:rFonts w:ascii="Times New Roman" w:hAnsi="Times New Roman" w:cs="Times New Roman"/>
          <w:bCs/>
          <w:sz w:val="24"/>
          <w:szCs w:val="24"/>
          <w:lang w:eastAsia="et-EE"/>
        </w:rPr>
        <w:t>2019.a avaldatud analüüsis</w:t>
      </w:r>
      <w:r w:rsidRPr="00096B24">
        <w:rPr>
          <w:rStyle w:val="FootnoteReference"/>
          <w:rFonts w:ascii="Times New Roman" w:hAnsi="Times New Roman" w:cs="Times New Roman"/>
          <w:bCs/>
          <w:sz w:val="24"/>
          <w:szCs w:val="24"/>
          <w:lang w:eastAsia="et-EE"/>
        </w:rPr>
        <w:footnoteReference w:id="1"/>
      </w:r>
      <w:r w:rsidRPr="00096B24">
        <w:rPr>
          <w:rFonts w:ascii="Times New Roman" w:hAnsi="Times New Roman" w:cs="Times New Roman"/>
          <w:bCs/>
          <w:sz w:val="24"/>
          <w:szCs w:val="24"/>
          <w:lang w:eastAsia="et-EE"/>
        </w:rPr>
        <w:t xml:space="preserve"> vaatles plaanilist puusaliigese </w:t>
      </w:r>
      <w:proofErr w:type="spellStart"/>
      <w:r w:rsidRPr="00096B24">
        <w:rPr>
          <w:rFonts w:ascii="Times New Roman" w:hAnsi="Times New Roman" w:cs="Times New Roman"/>
          <w:bCs/>
          <w:sz w:val="24"/>
          <w:szCs w:val="24"/>
          <w:lang w:eastAsia="et-EE"/>
        </w:rPr>
        <w:t>endoproteesimist</w:t>
      </w:r>
      <w:proofErr w:type="spellEnd"/>
      <w:r w:rsidRPr="00096B24">
        <w:rPr>
          <w:rFonts w:ascii="Times New Roman" w:hAnsi="Times New Roman" w:cs="Times New Roman"/>
          <w:bCs/>
          <w:sz w:val="24"/>
          <w:szCs w:val="24"/>
          <w:lang w:eastAsia="et-EE"/>
        </w:rPr>
        <w:t xml:space="preserve"> 2017-2017a ning kirjeldas mitmeid puusaliigese </w:t>
      </w:r>
      <w:proofErr w:type="spellStart"/>
      <w:r w:rsidRPr="00096B24">
        <w:rPr>
          <w:rFonts w:ascii="Times New Roman" w:hAnsi="Times New Roman" w:cs="Times New Roman"/>
          <w:bCs/>
          <w:sz w:val="24"/>
          <w:szCs w:val="24"/>
          <w:lang w:eastAsia="et-EE"/>
        </w:rPr>
        <w:t>endoproteesimise</w:t>
      </w:r>
      <w:proofErr w:type="spellEnd"/>
      <w:r w:rsidRPr="00096B24">
        <w:rPr>
          <w:rFonts w:ascii="Times New Roman" w:hAnsi="Times New Roman" w:cs="Times New Roman"/>
          <w:bCs/>
          <w:sz w:val="24"/>
          <w:szCs w:val="24"/>
          <w:lang w:eastAsia="et-EE"/>
        </w:rPr>
        <w:t xml:space="preserve"> kliinilisi indikaatoreid -  haiglaravi kestust, tüsistuste sagedust ja profiili, </w:t>
      </w:r>
      <w:proofErr w:type="spellStart"/>
      <w:r w:rsidRPr="00096B24">
        <w:rPr>
          <w:rFonts w:ascii="Times New Roman" w:hAnsi="Times New Roman" w:cs="Times New Roman"/>
          <w:bCs/>
          <w:sz w:val="24"/>
          <w:szCs w:val="24"/>
          <w:lang w:eastAsia="et-EE"/>
        </w:rPr>
        <w:t>rehospitaliseerimist</w:t>
      </w:r>
      <w:proofErr w:type="spellEnd"/>
      <w:r w:rsidRPr="00096B24">
        <w:rPr>
          <w:rFonts w:ascii="Times New Roman" w:hAnsi="Times New Roman" w:cs="Times New Roman"/>
          <w:bCs/>
          <w:sz w:val="24"/>
          <w:szCs w:val="24"/>
          <w:lang w:eastAsia="et-EE"/>
        </w:rPr>
        <w:t xml:space="preserve">, erakorralise meditsiini osakonda pöördumisi, antibakteriaalse ravi kasutamist ja taastusravi. </w:t>
      </w:r>
      <w:r w:rsidRPr="00096B24">
        <w:rPr>
          <w:rFonts w:ascii="Times New Roman" w:hAnsi="Times New Roman" w:cs="Times New Roman"/>
          <w:sz w:val="24"/>
          <w:szCs w:val="24"/>
        </w:rPr>
        <w:t xml:space="preserve">60% teostatud operatsioonidest tehti naistel ja naiste keskmine vanus oli viie aasta võrra suurem kui meestel. Keskmiselt viibiti haiglaravil 12 päeva. Operatsioonile järgnes koheselt statsionaarne taastusravi 24%-l haigetest ning 30 päeva jooksul pärast haiglaravi veel 3%-l haigetest statsionaarselt ja 3%-l ambulatoorselt. </w:t>
      </w:r>
    </w:p>
    <w:p w14:paraId="72AE0ABD" w14:textId="77777777" w:rsidR="00CF52DF" w:rsidRPr="00096B24" w:rsidRDefault="00CF52DF" w:rsidP="00096B24">
      <w:pPr>
        <w:pStyle w:val="NoSpacing"/>
        <w:ind w:left="360"/>
        <w:jc w:val="both"/>
        <w:rPr>
          <w:rFonts w:ascii="Times New Roman" w:hAnsi="Times New Roman" w:cs="Times New Roman"/>
          <w:bCs/>
          <w:sz w:val="24"/>
          <w:szCs w:val="24"/>
          <w:lang w:eastAsia="et-EE"/>
        </w:rPr>
      </w:pPr>
    </w:p>
    <w:p w14:paraId="19DEE175" w14:textId="77777777" w:rsidR="00CF52DF" w:rsidRPr="00096B24" w:rsidRDefault="00CF52DF" w:rsidP="00096B24">
      <w:pPr>
        <w:pStyle w:val="NoSpacing"/>
        <w:jc w:val="both"/>
        <w:rPr>
          <w:rFonts w:ascii="Times New Roman" w:hAnsi="Times New Roman" w:cs="Times New Roman"/>
          <w:bCs/>
          <w:sz w:val="24"/>
          <w:szCs w:val="24"/>
          <w:lang w:eastAsia="et-EE"/>
        </w:rPr>
      </w:pPr>
      <w:r w:rsidRPr="00096B24">
        <w:rPr>
          <w:rFonts w:ascii="Times New Roman" w:hAnsi="Times New Roman" w:cs="Times New Roman"/>
          <w:bCs/>
          <w:sz w:val="24"/>
          <w:szCs w:val="24"/>
          <w:lang w:eastAsia="et-EE"/>
        </w:rPr>
        <w:t xml:space="preserve">Eesti Haigekassa on alustanud puusaliigese </w:t>
      </w:r>
      <w:proofErr w:type="spellStart"/>
      <w:r w:rsidRPr="00096B24">
        <w:rPr>
          <w:rFonts w:ascii="Times New Roman" w:hAnsi="Times New Roman" w:cs="Times New Roman"/>
          <w:bCs/>
          <w:sz w:val="24"/>
          <w:szCs w:val="24"/>
          <w:lang w:eastAsia="et-EE"/>
        </w:rPr>
        <w:t>endoproteesimise</w:t>
      </w:r>
      <w:proofErr w:type="spellEnd"/>
      <w:r w:rsidRPr="00096B24">
        <w:rPr>
          <w:rFonts w:ascii="Times New Roman" w:hAnsi="Times New Roman" w:cs="Times New Roman"/>
          <w:bCs/>
          <w:sz w:val="24"/>
          <w:szCs w:val="24"/>
          <w:lang w:eastAsia="et-EE"/>
        </w:rPr>
        <w:t xml:space="preserve"> arendamise juhtprojektiga, mille eesmärgiks on arendada terviklikku ja </w:t>
      </w:r>
      <w:proofErr w:type="spellStart"/>
      <w:r w:rsidRPr="00096B24">
        <w:rPr>
          <w:rFonts w:ascii="Times New Roman" w:hAnsi="Times New Roman" w:cs="Times New Roman"/>
          <w:bCs/>
          <w:sz w:val="24"/>
          <w:szCs w:val="24"/>
          <w:lang w:eastAsia="et-EE"/>
        </w:rPr>
        <w:t>inimkeskset</w:t>
      </w:r>
      <w:proofErr w:type="spellEnd"/>
      <w:r w:rsidRPr="00096B24">
        <w:rPr>
          <w:rFonts w:ascii="Times New Roman" w:hAnsi="Times New Roman" w:cs="Times New Roman"/>
          <w:bCs/>
          <w:sz w:val="24"/>
          <w:szCs w:val="24"/>
          <w:lang w:eastAsia="et-EE"/>
        </w:rPr>
        <w:t xml:space="preserve"> raviteekonda, et parandada haigusjärgset elukvaliteeti. Juhtprojektiga soovitakse vähendada raviteekonna killustatust, luua vajalikud tervisesüsteemi ja tervisetulemite mõõdikud ja aidata kaasa raviteekonnapõhise rahastamise arendamisele. </w:t>
      </w:r>
    </w:p>
    <w:p w14:paraId="167C1575" w14:textId="77777777" w:rsidR="00CF52DF" w:rsidRPr="00096B24" w:rsidRDefault="00CF52DF" w:rsidP="00096B24">
      <w:pPr>
        <w:pStyle w:val="NoSpacing"/>
        <w:ind w:left="360"/>
        <w:jc w:val="both"/>
        <w:rPr>
          <w:rFonts w:ascii="Times New Roman" w:hAnsi="Times New Roman" w:cs="Times New Roman"/>
          <w:sz w:val="24"/>
          <w:szCs w:val="24"/>
          <w:lang w:eastAsia="et-EE"/>
        </w:rPr>
      </w:pPr>
    </w:p>
    <w:p w14:paraId="314FD5B6" w14:textId="77777777" w:rsidR="00CF52DF" w:rsidRPr="00096B24" w:rsidRDefault="00CF52DF" w:rsidP="00096B24">
      <w:pPr>
        <w:pStyle w:val="NoSpacing"/>
        <w:jc w:val="both"/>
        <w:rPr>
          <w:rFonts w:ascii="Times New Roman" w:hAnsi="Times New Roman" w:cs="Times New Roman"/>
          <w:sz w:val="24"/>
          <w:szCs w:val="24"/>
          <w:lang w:eastAsia="et-EE"/>
        </w:rPr>
      </w:pPr>
      <w:r w:rsidRPr="00096B24">
        <w:rPr>
          <w:rFonts w:ascii="Times New Roman" w:hAnsi="Times New Roman" w:cs="Times New Roman"/>
          <w:sz w:val="24"/>
          <w:szCs w:val="24"/>
          <w:lang w:eastAsia="et-EE"/>
        </w:rPr>
        <w:t xml:space="preserve">Sihtvaliku tulemused on sisendiks puusaliigese </w:t>
      </w:r>
      <w:proofErr w:type="spellStart"/>
      <w:r w:rsidRPr="00096B24">
        <w:rPr>
          <w:rFonts w:ascii="Times New Roman" w:hAnsi="Times New Roman" w:cs="Times New Roman"/>
          <w:sz w:val="24"/>
          <w:szCs w:val="24"/>
          <w:lang w:eastAsia="et-EE"/>
        </w:rPr>
        <w:t>endoproteesimise</w:t>
      </w:r>
      <w:proofErr w:type="spellEnd"/>
      <w:r w:rsidRPr="00096B24">
        <w:rPr>
          <w:rFonts w:ascii="Times New Roman" w:hAnsi="Times New Roman" w:cs="Times New Roman"/>
          <w:sz w:val="24"/>
          <w:szCs w:val="24"/>
          <w:lang w:eastAsia="et-EE"/>
        </w:rPr>
        <w:t xml:space="preserve"> ravijuhu ühtse kodeerimisjuhise koostamiseks ja patsiendi teekonna kujundamiseks. Selleks kaardistatakse puusaliigese </w:t>
      </w:r>
      <w:proofErr w:type="spellStart"/>
      <w:r w:rsidRPr="00096B24">
        <w:rPr>
          <w:rFonts w:ascii="Times New Roman" w:hAnsi="Times New Roman" w:cs="Times New Roman"/>
          <w:sz w:val="24"/>
          <w:szCs w:val="24"/>
          <w:lang w:eastAsia="et-EE"/>
        </w:rPr>
        <w:t>endoproteesimise</w:t>
      </w:r>
      <w:proofErr w:type="spellEnd"/>
      <w:r w:rsidRPr="00096B24">
        <w:rPr>
          <w:rFonts w:ascii="Times New Roman" w:hAnsi="Times New Roman" w:cs="Times New Roman"/>
          <w:sz w:val="24"/>
          <w:szCs w:val="24"/>
          <w:lang w:eastAsia="et-EE"/>
        </w:rPr>
        <w:t xml:space="preserve"> ravijuhu kliinilise kodeerimise käesolev olukord ja patsiendi raviteekond perioodil 6 kuud enne kuni 12 kuud pärast puusaliigese </w:t>
      </w:r>
      <w:proofErr w:type="spellStart"/>
      <w:r w:rsidRPr="00096B24">
        <w:rPr>
          <w:rFonts w:ascii="Times New Roman" w:hAnsi="Times New Roman" w:cs="Times New Roman"/>
          <w:sz w:val="24"/>
          <w:szCs w:val="24"/>
          <w:lang w:eastAsia="et-EE"/>
        </w:rPr>
        <w:t>endoproteesimist</w:t>
      </w:r>
      <w:proofErr w:type="spellEnd"/>
      <w:r w:rsidRPr="00096B24">
        <w:rPr>
          <w:rFonts w:ascii="Times New Roman" w:hAnsi="Times New Roman" w:cs="Times New Roman"/>
          <w:sz w:val="24"/>
          <w:szCs w:val="24"/>
          <w:lang w:eastAsia="et-EE"/>
        </w:rPr>
        <w:t xml:space="preserve">. Kaardistamise tulemused on aluseks aruteludele partneritega ja kliinilise kodeerimise juhise väljatöötamisele ning patsiendi raviteekonna kujundamisele. </w:t>
      </w:r>
    </w:p>
    <w:p w14:paraId="087D804D" w14:textId="77777777" w:rsidR="00914676" w:rsidRPr="00096B24" w:rsidRDefault="00914676" w:rsidP="00096B24">
      <w:pPr>
        <w:pStyle w:val="ListParagraph"/>
        <w:ind w:left="360"/>
        <w:jc w:val="both"/>
      </w:pPr>
    </w:p>
    <w:p w14:paraId="3E5D55D9" w14:textId="4771D2F8" w:rsidR="00AB3B94" w:rsidRPr="00096B24" w:rsidRDefault="00AB3B94" w:rsidP="00096B24">
      <w:pPr>
        <w:pStyle w:val="ListParagraph"/>
        <w:keepNext/>
        <w:numPr>
          <w:ilvl w:val="1"/>
          <w:numId w:val="2"/>
        </w:numPr>
        <w:spacing w:after="120"/>
        <w:jc w:val="both"/>
        <w:outlineLvl w:val="1"/>
        <w:rPr>
          <w:rFonts w:eastAsia="Calibri"/>
          <w:bCs/>
          <w:noProof/>
          <w:lang w:eastAsia="et-EE"/>
        </w:rPr>
      </w:pPr>
      <w:r w:rsidRPr="00096B24">
        <w:rPr>
          <w:rStyle w:val="Heading1Char"/>
          <w:rFonts w:cs="Times New Roman"/>
          <w:szCs w:val="24"/>
        </w:rPr>
        <w:t>Sihtvaliku valimi periood</w:t>
      </w:r>
      <w:r w:rsidRPr="00096B24">
        <w:rPr>
          <w:rFonts w:eastAsia="Calibri"/>
          <w:b/>
          <w:noProof/>
          <w:lang w:eastAsia="et-EE"/>
        </w:rPr>
        <w:t>:</w:t>
      </w:r>
      <w:r w:rsidRPr="00096B24">
        <w:rPr>
          <w:rFonts w:eastAsia="Calibri"/>
          <w:bCs/>
          <w:noProof/>
          <w:lang w:eastAsia="et-EE"/>
        </w:rPr>
        <w:t xml:space="preserve"> </w:t>
      </w:r>
      <w:r w:rsidR="00CF52DF" w:rsidRPr="00096B24">
        <w:rPr>
          <w:bCs/>
        </w:rPr>
        <w:t>2019.aasta</w:t>
      </w:r>
    </w:p>
    <w:p w14:paraId="1DB346A4" w14:textId="5B42145C" w:rsidR="00AB3B94" w:rsidRPr="00096B24" w:rsidRDefault="002869B8" w:rsidP="00096B24">
      <w:pPr>
        <w:pStyle w:val="Heading1"/>
        <w:jc w:val="both"/>
        <w:rPr>
          <w:rFonts w:cs="Times New Roman"/>
          <w:szCs w:val="24"/>
        </w:rPr>
      </w:pPr>
      <w:r w:rsidRPr="00096B24">
        <w:rPr>
          <w:rFonts w:cs="Times New Roman"/>
          <w:szCs w:val="24"/>
        </w:rPr>
        <w:t xml:space="preserve">2.4 </w:t>
      </w:r>
      <w:r w:rsidR="00AB3B94" w:rsidRPr="00096B24">
        <w:rPr>
          <w:rFonts w:cs="Times New Roman"/>
          <w:szCs w:val="24"/>
        </w:rPr>
        <w:t xml:space="preserve">Hindamise läbiviimise alus </w:t>
      </w:r>
    </w:p>
    <w:p w14:paraId="48BB21BA" w14:textId="77777777" w:rsidR="00CF52DF" w:rsidRPr="00096B24" w:rsidRDefault="00CF52DF" w:rsidP="00096B24">
      <w:pPr>
        <w:pStyle w:val="NoSpacing"/>
        <w:numPr>
          <w:ilvl w:val="0"/>
          <w:numId w:val="11"/>
        </w:numPr>
        <w:suppressAutoHyphens/>
        <w:autoSpaceDN w:val="0"/>
        <w:jc w:val="both"/>
        <w:rPr>
          <w:rFonts w:ascii="Times New Roman" w:hAnsi="Times New Roman" w:cs="Times New Roman"/>
          <w:sz w:val="24"/>
          <w:szCs w:val="24"/>
          <w:lang w:eastAsia="et-EE"/>
        </w:rPr>
      </w:pPr>
      <w:r w:rsidRPr="00096B24">
        <w:rPr>
          <w:rFonts w:ascii="Times New Roman" w:hAnsi="Times New Roman" w:cs="Times New Roman"/>
          <w:sz w:val="24"/>
          <w:szCs w:val="24"/>
          <w:lang w:eastAsia="et-EE"/>
        </w:rPr>
        <w:t>Eesti Haigekassa seadus § 2 lg 2, § 4 lg 1</w:t>
      </w:r>
    </w:p>
    <w:p w14:paraId="4E09A793" w14:textId="77777777" w:rsidR="00CF52DF" w:rsidRPr="00096B24" w:rsidRDefault="00CF52DF" w:rsidP="00096B24">
      <w:pPr>
        <w:pStyle w:val="NoSpacing"/>
        <w:numPr>
          <w:ilvl w:val="0"/>
          <w:numId w:val="11"/>
        </w:numPr>
        <w:suppressAutoHyphens/>
        <w:autoSpaceDN w:val="0"/>
        <w:jc w:val="both"/>
        <w:rPr>
          <w:rFonts w:ascii="Times New Roman" w:hAnsi="Times New Roman" w:cs="Times New Roman"/>
          <w:sz w:val="24"/>
          <w:szCs w:val="24"/>
          <w:lang w:eastAsia="et-EE"/>
        </w:rPr>
      </w:pPr>
      <w:r w:rsidRPr="00096B24">
        <w:rPr>
          <w:rFonts w:ascii="Times New Roman" w:hAnsi="Times New Roman" w:cs="Times New Roman"/>
          <w:sz w:val="24"/>
          <w:szCs w:val="24"/>
          <w:lang w:eastAsia="et-EE"/>
        </w:rPr>
        <w:t xml:space="preserve">Ravikindlustuse seadus (edaspidi </w:t>
      </w:r>
      <w:proofErr w:type="spellStart"/>
      <w:r w:rsidRPr="00096B24">
        <w:rPr>
          <w:rFonts w:ascii="Times New Roman" w:hAnsi="Times New Roman" w:cs="Times New Roman"/>
          <w:sz w:val="24"/>
          <w:szCs w:val="24"/>
          <w:lang w:eastAsia="et-EE"/>
        </w:rPr>
        <w:t>RaKS</w:t>
      </w:r>
      <w:proofErr w:type="spellEnd"/>
      <w:r w:rsidRPr="00096B24">
        <w:rPr>
          <w:rFonts w:ascii="Times New Roman" w:hAnsi="Times New Roman" w:cs="Times New Roman"/>
          <w:sz w:val="24"/>
          <w:szCs w:val="24"/>
          <w:lang w:eastAsia="et-EE"/>
        </w:rPr>
        <w:t>)</w:t>
      </w:r>
    </w:p>
    <w:p w14:paraId="636E856C" w14:textId="77777777" w:rsidR="00CF52DF" w:rsidRPr="00096B24" w:rsidRDefault="00CF52DF" w:rsidP="00096B24">
      <w:pPr>
        <w:pStyle w:val="NoSpacing"/>
        <w:numPr>
          <w:ilvl w:val="0"/>
          <w:numId w:val="11"/>
        </w:numPr>
        <w:suppressAutoHyphens/>
        <w:autoSpaceDN w:val="0"/>
        <w:jc w:val="both"/>
        <w:rPr>
          <w:rFonts w:ascii="Times New Roman" w:hAnsi="Times New Roman" w:cs="Times New Roman"/>
          <w:sz w:val="24"/>
          <w:szCs w:val="24"/>
          <w:lang w:eastAsia="et-EE"/>
        </w:rPr>
      </w:pPr>
      <w:r w:rsidRPr="00096B24">
        <w:rPr>
          <w:rFonts w:ascii="Times New Roman" w:hAnsi="Times New Roman" w:cs="Times New Roman"/>
          <w:sz w:val="24"/>
          <w:szCs w:val="24"/>
          <w:lang w:eastAsia="et-EE"/>
        </w:rPr>
        <w:t>Tervishoiuteenuste korraldamise seadus (edaspidi TTKS)</w:t>
      </w:r>
    </w:p>
    <w:p w14:paraId="220163F7" w14:textId="77777777" w:rsidR="00CF52DF" w:rsidRPr="00096B24" w:rsidRDefault="00CF52DF" w:rsidP="00096B24">
      <w:pPr>
        <w:pStyle w:val="NoSpacing"/>
        <w:numPr>
          <w:ilvl w:val="0"/>
          <w:numId w:val="11"/>
        </w:numPr>
        <w:suppressAutoHyphens/>
        <w:autoSpaceDN w:val="0"/>
        <w:jc w:val="both"/>
        <w:rPr>
          <w:rFonts w:ascii="Times New Roman" w:hAnsi="Times New Roman" w:cs="Times New Roman"/>
          <w:sz w:val="24"/>
          <w:szCs w:val="24"/>
          <w:lang w:eastAsia="et-EE"/>
        </w:rPr>
      </w:pPr>
      <w:r w:rsidRPr="00096B24">
        <w:rPr>
          <w:rFonts w:ascii="Times New Roman" w:hAnsi="Times New Roman" w:cs="Times New Roman"/>
          <w:sz w:val="24"/>
          <w:szCs w:val="24"/>
          <w:lang w:eastAsia="et-EE"/>
        </w:rPr>
        <w:t>Sotsiaalministri 18.09.2008 määrus nr 56 “Tervishoiuteenuse osutamise dokumenteerimise ning nende dokumentide säilitamise tingimused ja kord” (edaspidi dokumenteerimise määrus)</w:t>
      </w:r>
    </w:p>
    <w:p w14:paraId="2A64CB81" w14:textId="77777777" w:rsidR="00CF52DF" w:rsidRPr="00096B24" w:rsidRDefault="00CF52DF" w:rsidP="00096B24">
      <w:pPr>
        <w:pStyle w:val="NoSpacing"/>
        <w:numPr>
          <w:ilvl w:val="0"/>
          <w:numId w:val="11"/>
        </w:numPr>
        <w:suppressAutoHyphens/>
        <w:autoSpaceDN w:val="0"/>
        <w:jc w:val="both"/>
        <w:rPr>
          <w:rFonts w:ascii="Times New Roman" w:hAnsi="Times New Roman" w:cs="Times New Roman"/>
          <w:sz w:val="24"/>
          <w:szCs w:val="24"/>
        </w:rPr>
      </w:pPr>
      <w:r w:rsidRPr="00096B24">
        <w:rPr>
          <w:rFonts w:ascii="Times New Roman" w:hAnsi="Times New Roman" w:cs="Times New Roman"/>
          <w:sz w:val="24"/>
          <w:szCs w:val="24"/>
        </w:rPr>
        <w:lastRenderedPageBreak/>
        <w:t xml:space="preserve">Vabariigi Valitsuse määrus 13.12.2018 nr 116; 21.03.2019 nr 27; 20.06.2019 nr 54,“Eesti Haigekassa tervishoiuteenuste loetelu“ (edaspidi TTL). </w:t>
      </w:r>
    </w:p>
    <w:p w14:paraId="77DFE65B" w14:textId="77777777" w:rsidR="00CF52DF" w:rsidRPr="00096B24" w:rsidRDefault="00CF52DF" w:rsidP="00096B24">
      <w:pPr>
        <w:pStyle w:val="NoSpacing"/>
        <w:numPr>
          <w:ilvl w:val="0"/>
          <w:numId w:val="11"/>
        </w:numPr>
        <w:suppressAutoHyphens/>
        <w:autoSpaceDN w:val="0"/>
        <w:jc w:val="both"/>
        <w:rPr>
          <w:rFonts w:ascii="Times New Roman" w:hAnsi="Times New Roman" w:cs="Times New Roman"/>
          <w:sz w:val="24"/>
          <w:szCs w:val="24"/>
        </w:rPr>
      </w:pPr>
      <w:r w:rsidRPr="00096B24">
        <w:rPr>
          <w:rFonts w:ascii="Times New Roman" w:hAnsi="Times New Roman" w:cs="Times New Roman"/>
          <w:sz w:val="24"/>
          <w:szCs w:val="24"/>
          <w:lang w:eastAsia="et-EE"/>
        </w:rPr>
        <w:t>Sotsiaalministri 19.01.2007 määrus nr 9 „Kindlustatud isikult tasu maksmise kohustuse Eesti Haigekassa poolt ülevõtmise kord ja tervishoiuteenuse osutajatele makstava tasu arvutamise metoodika” (edaspidi metoodika määrus)</w:t>
      </w:r>
    </w:p>
    <w:p w14:paraId="639530BC" w14:textId="77777777" w:rsidR="00CF52DF" w:rsidRPr="00096B24" w:rsidRDefault="00CF52DF" w:rsidP="00096B24">
      <w:pPr>
        <w:numPr>
          <w:ilvl w:val="0"/>
          <w:numId w:val="11"/>
        </w:numPr>
        <w:suppressAutoHyphens/>
        <w:autoSpaceDN w:val="0"/>
        <w:spacing w:after="0" w:line="240" w:lineRule="auto"/>
        <w:jc w:val="both"/>
        <w:rPr>
          <w:rFonts w:ascii="Times New Roman" w:hAnsi="Times New Roman" w:cs="Times New Roman"/>
          <w:sz w:val="24"/>
          <w:szCs w:val="24"/>
        </w:rPr>
      </w:pPr>
      <w:r w:rsidRPr="00096B24">
        <w:rPr>
          <w:rFonts w:ascii="Times New Roman" w:hAnsi="Times New Roman" w:cs="Times New Roman"/>
          <w:sz w:val="24"/>
          <w:szCs w:val="24"/>
        </w:rPr>
        <w:t xml:space="preserve">Sotsiaalministri 10.01.2002 määrus nr 13 „Tervishoiuteenuste loetelu kehtestamine“ </w:t>
      </w:r>
    </w:p>
    <w:p w14:paraId="6D7B89EA" w14:textId="77777777" w:rsidR="00CF52DF" w:rsidRPr="00096B24" w:rsidRDefault="00CF52DF" w:rsidP="00096B24">
      <w:pPr>
        <w:pStyle w:val="NoSpacing"/>
        <w:numPr>
          <w:ilvl w:val="0"/>
          <w:numId w:val="11"/>
        </w:numPr>
        <w:suppressAutoHyphens/>
        <w:autoSpaceDN w:val="0"/>
        <w:jc w:val="both"/>
        <w:rPr>
          <w:rFonts w:ascii="Times New Roman" w:hAnsi="Times New Roman" w:cs="Times New Roman"/>
          <w:sz w:val="24"/>
          <w:szCs w:val="24"/>
        </w:rPr>
      </w:pPr>
      <w:r w:rsidRPr="00096B24">
        <w:rPr>
          <w:rFonts w:ascii="Times New Roman" w:hAnsi="Times New Roman" w:cs="Times New Roman"/>
          <w:sz w:val="24"/>
          <w:szCs w:val="24"/>
          <w:lang w:eastAsia="et-EE"/>
        </w:rPr>
        <w:t>Ravi rahastamise leping (edaspidi RRL)</w:t>
      </w:r>
    </w:p>
    <w:p w14:paraId="7CFCE71C" w14:textId="31D5D922" w:rsidR="003F6BA5" w:rsidRPr="00303701" w:rsidRDefault="00CF52DF" w:rsidP="00303701">
      <w:pPr>
        <w:pStyle w:val="NoSpacing"/>
        <w:numPr>
          <w:ilvl w:val="0"/>
          <w:numId w:val="11"/>
        </w:numPr>
        <w:suppressAutoHyphens/>
        <w:autoSpaceDN w:val="0"/>
        <w:jc w:val="both"/>
        <w:rPr>
          <w:rFonts w:ascii="Times New Roman" w:hAnsi="Times New Roman" w:cs="Times New Roman"/>
          <w:sz w:val="24"/>
          <w:szCs w:val="24"/>
          <w:shd w:val="clear" w:color="auto" w:fill="FFFF00"/>
          <w:lang w:eastAsia="et-EE"/>
        </w:rPr>
      </w:pPr>
      <w:r w:rsidRPr="00096B24">
        <w:rPr>
          <w:rFonts w:ascii="Times New Roman" w:hAnsi="Times New Roman" w:cs="Times New Roman"/>
          <w:sz w:val="24"/>
          <w:szCs w:val="24"/>
        </w:rPr>
        <w:t>Eesti Haigekassa juhatuse otsus  17.11.2020 nr 462 „2021. aasta I poolaasta sihtvaliku teemade kinnitamine“</w:t>
      </w:r>
    </w:p>
    <w:p w14:paraId="5A28B19E" w14:textId="77777777" w:rsidR="00BC3982" w:rsidRPr="00096B24" w:rsidRDefault="00BC3982" w:rsidP="00096B24">
      <w:pPr>
        <w:spacing w:before="40" w:after="0" w:line="240" w:lineRule="auto"/>
        <w:jc w:val="both"/>
        <w:rPr>
          <w:rFonts w:ascii="Times New Roman" w:eastAsia="Calibri" w:hAnsi="Times New Roman" w:cs="Times New Roman"/>
          <w:bCs/>
          <w:noProof/>
          <w:sz w:val="24"/>
          <w:szCs w:val="24"/>
          <w:lang w:eastAsia="et-EE"/>
        </w:rPr>
      </w:pPr>
    </w:p>
    <w:p w14:paraId="563E2B0B" w14:textId="56393381" w:rsidR="00BC3982" w:rsidRPr="00096B24" w:rsidRDefault="00BC3982" w:rsidP="00096B24">
      <w:pPr>
        <w:pStyle w:val="Heading1"/>
        <w:numPr>
          <w:ilvl w:val="1"/>
          <w:numId w:val="38"/>
        </w:numPr>
        <w:jc w:val="both"/>
        <w:rPr>
          <w:rFonts w:cs="Times New Roman"/>
          <w:szCs w:val="24"/>
        </w:rPr>
      </w:pPr>
      <w:r w:rsidRPr="00096B24">
        <w:rPr>
          <w:rFonts w:cs="Times New Roman"/>
          <w:szCs w:val="24"/>
        </w:rPr>
        <w:t xml:space="preserve"> Ravidokumentide vormistamine</w:t>
      </w:r>
    </w:p>
    <w:p w14:paraId="51DE07DC" w14:textId="59E5F1E0" w:rsidR="00BC3982" w:rsidRPr="00096B24" w:rsidRDefault="00BC3982" w:rsidP="00096B24">
      <w:pPr>
        <w:suppressAutoHyphens/>
        <w:spacing w:after="0" w:line="240" w:lineRule="auto"/>
        <w:jc w:val="both"/>
        <w:rPr>
          <w:rFonts w:ascii="Times New Roman" w:eastAsia="Times New Roman" w:hAnsi="Times New Roman" w:cs="Times New Roman"/>
          <w:sz w:val="24"/>
          <w:szCs w:val="24"/>
          <w:lang w:eastAsia="ar-SA"/>
        </w:rPr>
      </w:pPr>
      <w:r w:rsidRPr="00096B24">
        <w:rPr>
          <w:rFonts w:ascii="Times New Roman" w:eastAsia="Times New Roman" w:hAnsi="Times New Roman" w:cs="Times New Roman"/>
          <w:sz w:val="24"/>
          <w:szCs w:val="24"/>
          <w:lang w:eastAsia="ar-SA"/>
        </w:rPr>
        <w:t>Hindamisel lähtuti „Tervishoiuteenuse osutamise dokumenteerimise ning nende dokumentide säilitamise tingimused ja kord“ ja „Kindlustatud isikult tasu maksmise kohustuse Eesti Haigekassa poolt ülevõtmise kord ja tervishoiuteenuse osutajatele makstava tasu arvutamise metoodikast“. Ravidokumendid vastasid määrusele.</w:t>
      </w:r>
    </w:p>
    <w:p w14:paraId="79A728A4" w14:textId="626AD87F" w:rsidR="00946F7B" w:rsidRPr="00096B24" w:rsidRDefault="005169FF" w:rsidP="00096B24">
      <w:pPr>
        <w:pStyle w:val="Heading1"/>
        <w:numPr>
          <w:ilvl w:val="0"/>
          <w:numId w:val="38"/>
        </w:numPr>
        <w:spacing w:line="240" w:lineRule="auto"/>
        <w:jc w:val="both"/>
        <w:rPr>
          <w:rFonts w:cs="Times New Roman"/>
          <w:szCs w:val="24"/>
        </w:rPr>
      </w:pPr>
      <w:bookmarkStart w:id="1" w:name="_Toc64363008"/>
      <w:r w:rsidRPr="00096B24">
        <w:rPr>
          <w:rFonts w:cs="Times New Roman"/>
          <w:szCs w:val="24"/>
        </w:rPr>
        <w:t>SIHTVALIKU KORRALDUS</w:t>
      </w:r>
    </w:p>
    <w:p w14:paraId="56C55677" w14:textId="77777777" w:rsidR="00946F7B" w:rsidRPr="00096B24" w:rsidRDefault="00946F7B" w:rsidP="00096B24">
      <w:pPr>
        <w:spacing w:after="0" w:line="240" w:lineRule="auto"/>
        <w:jc w:val="both"/>
        <w:rPr>
          <w:rFonts w:ascii="Times New Roman" w:eastAsia="Times New Roman" w:hAnsi="Times New Roman" w:cs="Times New Roman"/>
          <w:sz w:val="24"/>
          <w:szCs w:val="24"/>
          <w:lang w:eastAsia="et-EE"/>
        </w:rPr>
      </w:pPr>
    </w:p>
    <w:p w14:paraId="6BAF036B" w14:textId="4D2E91E4" w:rsidR="00CF52DF" w:rsidRPr="00096B24" w:rsidRDefault="006F3360" w:rsidP="00096B24">
      <w:pPr>
        <w:pStyle w:val="Heading1"/>
        <w:jc w:val="both"/>
        <w:rPr>
          <w:rFonts w:cs="Times New Roman"/>
          <w:szCs w:val="24"/>
        </w:rPr>
      </w:pPr>
      <w:r w:rsidRPr="00096B24">
        <w:rPr>
          <w:rFonts w:cs="Times New Roman"/>
          <w:szCs w:val="24"/>
        </w:rPr>
        <w:t xml:space="preserve">3.1 </w:t>
      </w:r>
      <w:r w:rsidR="00946F7B" w:rsidRPr="00096B24">
        <w:rPr>
          <w:rFonts w:cs="Times New Roman"/>
          <w:szCs w:val="24"/>
        </w:rPr>
        <w:t>Sihtv</w:t>
      </w:r>
      <w:r w:rsidR="00303701">
        <w:rPr>
          <w:rFonts w:cs="Times New Roman"/>
          <w:szCs w:val="24"/>
        </w:rPr>
        <w:t>a</w:t>
      </w:r>
      <w:r w:rsidR="00946F7B" w:rsidRPr="00096B24">
        <w:rPr>
          <w:rFonts w:cs="Times New Roman"/>
          <w:szCs w:val="24"/>
        </w:rPr>
        <w:t>liku teostajad</w:t>
      </w:r>
    </w:p>
    <w:p w14:paraId="7EC8BB44" w14:textId="4C1A7C2E" w:rsidR="00946F7B" w:rsidRPr="00096B24" w:rsidRDefault="005169FF" w:rsidP="00096B24">
      <w:pPr>
        <w:pStyle w:val="Default"/>
        <w:jc w:val="both"/>
        <w:rPr>
          <w:color w:val="auto"/>
        </w:rPr>
      </w:pPr>
      <w:r w:rsidRPr="00096B24">
        <w:rPr>
          <w:color w:val="auto"/>
        </w:rPr>
        <w:t>Hindamist teostas k</w:t>
      </w:r>
      <w:r w:rsidR="00946F7B" w:rsidRPr="00096B24">
        <w:rPr>
          <w:color w:val="auto"/>
        </w:rPr>
        <w:t xml:space="preserve">valiteedi </w:t>
      </w:r>
      <w:proofErr w:type="spellStart"/>
      <w:r w:rsidR="00946F7B" w:rsidRPr="00096B24">
        <w:rPr>
          <w:color w:val="auto"/>
        </w:rPr>
        <w:t>edenduse</w:t>
      </w:r>
      <w:proofErr w:type="spellEnd"/>
      <w:r w:rsidR="00946F7B" w:rsidRPr="00096B24">
        <w:rPr>
          <w:color w:val="auto"/>
        </w:rPr>
        <w:t xml:space="preserve"> osakonna usaldusarst Marge Vaikjärv</w:t>
      </w:r>
      <w:r w:rsidRPr="00096B24">
        <w:rPr>
          <w:color w:val="auto"/>
        </w:rPr>
        <w:t>.</w:t>
      </w:r>
    </w:p>
    <w:p w14:paraId="49467D93" w14:textId="1D696DAC" w:rsidR="00DC18DB" w:rsidRPr="00096B24" w:rsidRDefault="009F45F6" w:rsidP="00096B24">
      <w:pPr>
        <w:pStyle w:val="Heading1"/>
        <w:spacing w:line="240" w:lineRule="auto"/>
        <w:jc w:val="both"/>
        <w:rPr>
          <w:rFonts w:cs="Times New Roman"/>
          <w:noProof/>
          <w:szCs w:val="24"/>
          <w:lang w:eastAsia="et-EE"/>
        </w:rPr>
      </w:pPr>
      <w:r w:rsidRPr="00096B24">
        <w:rPr>
          <w:rFonts w:cs="Times New Roman"/>
          <w:noProof/>
          <w:szCs w:val="24"/>
          <w:lang w:eastAsia="et-EE"/>
        </w:rPr>
        <w:t xml:space="preserve">3.2. </w:t>
      </w:r>
      <w:r w:rsidR="00DC18DB" w:rsidRPr="00096B24">
        <w:rPr>
          <w:rFonts w:cs="Times New Roman"/>
          <w:noProof/>
          <w:szCs w:val="24"/>
          <w:lang w:eastAsia="et-EE"/>
        </w:rPr>
        <w:t>Valimi moodustamine</w:t>
      </w:r>
      <w:bookmarkEnd w:id="1"/>
    </w:p>
    <w:p w14:paraId="579B8DEF" w14:textId="77777777" w:rsidR="00CF52DF" w:rsidRPr="00096B24" w:rsidRDefault="00CF52DF" w:rsidP="00096B24">
      <w:pPr>
        <w:spacing w:after="0" w:line="240" w:lineRule="auto"/>
        <w:jc w:val="both"/>
        <w:rPr>
          <w:rFonts w:ascii="Times New Roman" w:hAnsi="Times New Roman" w:cs="Times New Roman"/>
          <w:sz w:val="24"/>
          <w:szCs w:val="24"/>
          <w:u w:val="single"/>
          <w:lang w:eastAsia="et-EE"/>
        </w:rPr>
      </w:pPr>
      <w:r w:rsidRPr="00096B24">
        <w:rPr>
          <w:rFonts w:ascii="Times New Roman" w:hAnsi="Times New Roman" w:cs="Times New Roman"/>
          <w:sz w:val="24"/>
          <w:szCs w:val="24"/>
          <w:u w:val="single"/>
          <w:lang w:eastAsia="et-EE"/>
        </w:rPr>
        <w:t>I päring – isikute tuvastamine</w:t>
      </w:r>
    </w:p>
    <w:p w14:paraId="05A0EC5C" w14:textId="77777777" w:rsidR="00CF52DF" w:rsidRPr="00096B24" w:rsidRDefault="00CF52DF" w:rsidP="00096B24">
      <w:pPr>
        <w:spacing w:after="0" w:line="240" w:lineRule="auto"/>
        <w:jc w:val="both"/>
        <w:rPr>
          <w:rFonts w:ascii="Times New Roman" w:hAnsi="Times New Roman" w:cs="Times New Roman"/>
          <w:sz w:val="24"/>
          <w:szCs w:val="24"/>
          <w:lang w:eastAsia="et-EE"/>
        </w:rPr>
      </w:pPr>
      <w:r w:rsidRPr="00096B24">
        <w:rPr>
          <w:rFonts w:ascii="Times New Roman" w:hAnsi="Times New Roman" w:cs="Times New Roman"/>
          <w:sz w:val="24"/>
          <w:szCs w:val="24"/>
          <w:lang w:eastAsia="et-EE"/>
        </w:rPr>
        <w:t xml:space="preserve">Puusaliigese </w:t>
      </w:r>
      <w:proofErr w:type="spellStart"/>
      <w:r w:rsidRPr="00096B24">
        <w:rPr>
          <w:rFonts w:ascii="Times New Roman" w:hAnsi="Times New Roman" w:cs="Times New Roman"/>
          <w:sz w:val="24"/>
          <w:szCs w:val="24"/>
          <w:lang w:eastAsia="et-EE"/>
        </w:rPr>
        <w:t>endoproteesimise</w:t>
      </w:r>
      <w:proofErr w:type="spellEnd"/>
      <w:r w:rsidRPr="00096B24">
        <w:rPr>
          <w:rFonts w:ascii="Times New Roman" w:hAnsi="Times New Roman" w:cs="Times New Roman"/>
          <w:sz w:val="24"/>
          <w:szCs w:val="24"/>
          <w:lang w:eastAsia="et-EE"/>
        </w:rPr>
        <w:t xml:space="preserve"> ravijuht leitakse raviarvete andmebaasist päringuga, mille kriteeriumid on:</w:t>
      </w:r>
    </w:p>
    <w:p w14:paraId="0998336E" w14:textId="77777777" w:rsidR="00CF52DF" w:rsidRPr="00096B24" w:rsidRDefault="00CF52DF" w:rsidP="00096B24">
      <w:pPr>
        <w:pStyle w:val="ListParagraph"/>
        <w:numPr>
          <w:ilvl w:val="0"/>
          <w:numId w:val="12"/>
        </w:numPr>
        <w:autoSpaceDN w:val="0"/>
        <w:spacing w:after="160"/>
        <w:jc w:val="both"/>
        <w:rPr>
          <w:lang w:eastAsia="et-EE"/>
        </w:rPr>
      </w:pPr>
      <w:bookmarkStart w:id="2" w:name="_Hlk39648462"/>
      <w:r w:rsidRPr="00096B24">
        <w:rPr>
          <w:lang w:eastAsia="et-EE"/>
        </w:rPr>
        <w:t>2019. aasta;</w:t>
      </w:r>
    </w:p>
    <w:p w14:paraId="2EF9CAAB" w14:textId="77777777" w:rsidR="00CF52DF" w:rsidRPr="00096B24" w:rsidRDefault="00CF52DF" w:rsidP="00096B24">
      <w:pPr>
        <w:pStyle w:val="ListParagraph"/>
        <w:numPr>
          <w:ilvl w:val="0"/>
          <w:numId w:val="12"/>
        </w:numPr>
        <w:autoSpaceDN w:val="0"/>
        <w:spacing w:after="160"/>
        <w:jc w:val="both"/>
        <w:rPr>
          <w:lang w:eastAsia="et-EE"/>
        </w:rPr>
      </w:pPr>
      <w:r w:rsidRPr="00096B24">
        <w:rPr>
          <w:lang w:eastAsia="et-EE"/>
        </w:rPr>
        <w:t>kõik raviasutused;</w:t>
      </w:r>
    </w:p>
    <w:p w14:paraId="3FE0D571" w14:textId="77777777" w:rsidR="00CF52DF" w:rsidRPr="00096B24" w:rsidRDefault="00CF52DF" w:rsidP="00096B24">
      <w:pPr>
        <w:pStyle w:val="ListParagraph"/>
        <w:numPr>
          <w:ilvl w:val="0"/>
          <w:numId w:val="12"/>
        </w:numPr>
        <w:autoSpaceDN w:val="0"/>
        <w:spacing w:after="160"/>
        <w:jc w:val="both"/>
        <w:rPr>
          <w:lang w:eastAsia="et-EE"/>
        </w:rPr>
      </w:pPr>
      <w:r w:rsidRPr="00096B24">
        <w:rPr>
          <w:lang w:eastAsia="et-EE"/>
        </w:rPr>
        <w:t xml:space="preserve">raviteenuse tüüp: statsionaarne, päevaravi </w:t>
      </w:r>
    </w:p>
    <w:p w14:paraId="7061E288" w14:textId="768530C1" w:rsidR="00CF52DF" w:rsidRPr="00096B24" w:rsidRDefault="00CF52DF" w:rsidP="00096B24">
      <w:pPr>
        <w:pStyle w:val="ListParagraph"/>
        <w:numPr>
          <w:ilvl w:val="0"/>
          <w:numId w:val="12"/>
        </w:numPr>
        <w:autoSpaceDN w:val="0"/>
        <w:spacing w:after="160"/>
        <w:jc w:val="both"/>
        <w:rPr>
          <w:lang w:eastAsia="et-EE"/>
        </w:rPr>
      </w:pPr>
      <w:r w:rsidRPr="00096B24">
        <w:rPr>
          <w:lang w:eastAsia="et-EE"/>
        </w:rPr>
        <w:t>Raviarve kuulub DRG-gruppi 209D, 209E või 209O</w:t>
      </w:r>
      <w:bookmarkEnd w:id="2"/>
    </w:p>
    <w:p w14:paraId="763C75C3" w14:textId="77777777" w:rsidR="00CF52DF" w:rsidRPr="00096B24" w:rsidRDefault="00CF52DF" w:rsidP="00096B24">
      <w:pPr>
        <w:spacing w:after="0" w:line="240" w:lineRule="auto"/>
        <w:jc w:val="both"/>
        <w:rPr>
          <w:rFonts w:ascii="Times New Roman" w:hAnsi="Times New Roman" w:cs="Times New Roman"/>
          <w:sz w:val="24"/>
          <w:szCs w:val="24"/>
          <w:lang w:eastAsia="et-EE"/>
        </w:rPr>
      </w:pPr>
      <w:r w:rsidRPr="00096B24">
        <w:rPr>
          <w:rFonts w:ascii="Times New Roman" w:hAnsi="Times New Roman" w:cs="Times New Roman"/>
          <w:sz w:val="24"/>
          <w:szCs w:val="24"/>
          <w:lang w:eastAsia="et-EE"/>
        </w:rPr>
        <w:t xml:space="preserve">Päringusse tuli 2022 raviarvet 1972 isiku kohta, 11 partnerilt. </w:t>
      </w:r>
    </w:p>
    <w:p w14:paraId="087EAB83" w14:textId="77777777" w:rsidR="00CF52DF" w:rsidRPr="00096B24" w:rsidRDefault="00CF52DF" w:rsidP="00096B24">
      <w:pPr>
        <w:pStyle w:val="NoSpacing"/>
        <w:jc w:val="both"/>
        <w:rPr>
          <w:rFonts w:ascii="Times New Roman" w:hAnsi="Times New Roman" w:cs="Times New Roman"/>
          <w:sz w:val="24"/>
          <w:szCs w:val="24"/>
          <w:lang w:eastAsia="et-EE"/>
        </w:rPr>
      </w:pPr>
    </w:p>
    <w:p w14:paraId="7E8662D4" w14:textId="77777777" w:rsidR="00CF52DF" w:rsidRPr="00096B24" w:rsidRDefault="00CF52DF" w:rsidP="00096B24">
      <w:pPr>
        <w:pStyle w:val="NoSpacing"/>
        <w:jc w:val="both"/>
        <w:rPr>
          <w:rFonts w:ascii="Times New Roman" w:hAnsi="Times New Roman" w:cs="Times New Roman"/>
          <w:sz w:val="24"/>
          <w:szCs w:val="24"/>
          <w:u w:val="single"/>
          <w:lang w:eastAsia="et-EE"/>
        </w:rPr>
      </w:pPr>
      <w:r w:rsidRPr="00096B24">
        <w:rPr>
          <w:rFonts w:ascii="Times New Roman" w:hAnsi="Times New Roman" w:cs="Times New Roman"/>
          <w:sz w:val="24"/>
          <w:szCs w:val="24"/>
          <w:u w:val="single"/>
          <w:lang w:eastAsia="et-EE"/>
        </w:rPr>
        <w:t xml:space="preserve">II päring – puusaliigese </w:t>
      </w:r>
      <w:proofErr w:type="spellStart"/>
      <w:r w:rsidRPr="00096B24">
        <w:rPr>
          <w:rFonts w:ascii="Times New Roman" w:hAnsi="Times New Roman" w:cs="Times New Roman"/>
          <w:sz w:val="24"/>
          <w:szCs w:val="24"/>
          <w:u w:val="single"/>
          <w:lang w:eastAsia="et-EE"/>
        </w:rPr>
        <w:t>endoproteesimisele</w:t>
      </w:r>
      <w:proofErr w:type="spellEnd"/>
      <w:r w:rsidRPr="00096B24">
        <w:rPr>
          <w:rFonts w:ascii="Times New Roman" w:hAnsi="Times New Roman" w:cs="Times New Roman"/>
          <w:sz w:val="24"/>
          <w:szCs w:val="24"/>
          <w:u w:val="single"/>
          <w:lang w:eastAsia="et-EE"/>
        </w:rPr>
        <w:t xml:space="preserve"> eelnevate ja järgnevate raviarvete tuvastamine</w:t>
      </w:r>
    </w:p>
    <w:p w14:paraId="048A5F99" w14:textId="77777777" w:rsidR="00CF52DF" w:rsidRPr="00096B24" w:rsidRDefault="00CF52DF" w:rsidP="00096B24">
      <w:pPr>
        <w:pStyle w:val="NoSpacing"/>
        <w:jc w:val="both"/>
        <w:rPr>
          <w:rFonts w:ascii="Times New Roman" w:hAnsi="Times New Roman" w:cs="Times New Roman"/>
          <w:sz w:val="24"/>
          <w:szCs w:val="24"/>
          <w:lang w:eastAsia="et-EE"/>
        </w:rPr>
      </w:pPr>
      <w:r w:rsidRPr="00096B24">
        <w:rPr>
          <w:rFonts w:ascii="Times New Roman" w:hAnsi="Times New Roman" w:cs="Times New Roman"/>
          <w:sz w:val="24"/>
          <w:szCs w:val="24"/>
          <w:lang w:eastAsia="et-EE"/>
        </w:rPr>
        <w:t xml:space="preserve">Kriteeriumid: </w:t>
      </w:r>
    </w:p>
    <w:p w14:paraId="4B82185E" w14:textId="77777777" w:rsidR="00CF52DF" w:rsidRPr="00096B24" w:rsidRDefault="00CF52DF" w:rsidP="00096B24">
      <w:pPr>
        <w:pStyle w:val="NoSpacing"/>
        <w:numPr>
          <w:ilvl w:val="0"/>
          <w:numId w:val="13"/>
        </w:numPr>
        <w:suppressAutoHyphens/>
        <w:autoSpaceDN w:val="0"/>
        <w:jc w:val="both"/>
        <w:rPr>
          <w:rFonts w:ascii="Times New Roman" w:hAnsi="Times New Roman" w:cs="Times New Roman"/>
          <w:sz w:val="24"/>
          <w:szCs w:val="24"/>
          <w:lang w:eastAsia="et-EE"/>
        </w:rPr>
      </w:pPr>
      <w:r w:rsidRPr="00096B24">
        <w:rPr>
          <w:rFonts w:ascii="Times New Roman" w:hAnsi="Times New Roman" w:cs="Times New Roman"/>
          <w:sz w:val="24"/>
          <w:szCs w:val="24"/>
          <w:lang w:eastAsia="et-EE"/>
        </w:rPr>
        <w:t>Välja valitud</w:t>
      </w:r>
      <w:r w:rsidRPr="00096B24">
        <w:rPr>
          <w:rStyle w:val="FootnoteReference"/>
          <w:rFonts w:ascii="Times New Roman" w:hAnsi="Times New Roman" w:cs="Times New Roman"/>
          <w:sz w:val="24"/>
          <w:szCs w:val="24"/>
          <w:lang w:eastAsia="et-EE"/>
        </w:rPr>
        <w:footnoteReference w:id="2"/>
      </w:r>
      <w:r w:rsidRPr="00096B24">
        <w:rPr>
          <w:rFonts w:ascii="Times New Roman" w:hAnsi="Times New Roman" w:cs="Times New Roman"/>
          <w:sz w:val="24"/>
          <w:szCs w:val="24"/>
          <w:lang w:eastAsia="et-EE"/>
        </w:rPr>
        <w:t xml:space="preserve"> 150 isiku puhul lähtuvalt operatsiooni sisaldavast raviarvest eelneva 6 kuu ja järgneva 12 kuu arved</w:t>
      </w:r>
    </w:p>
    <w:p w14:paraId="58EDB94B" w14:textId="77777777" w:rsidR="00CF52DF" w:rsidRPr="00096B24" w:rsidRDefault="00CF52DF" w:rsidP="00096B24">
      <w:pPr>
        <w:pStyle w:val="NoSpacing"/>
        <w:numPr>
          <w:ilvl w:val="0"/>
          <w:numId w:val="13"/>
        </w:numPr>
        <w:suppressAutoHyphens/>
        <w:autoSpaceDN w:val="0"/>
        <w:jc w:val="both"/>
        <w:rPr>
          <w:rFonts w:ascii="Times New Roman" w:hAnsi="Times New Roman" w:cs="Times New Roman"/>
          <w:sz w:val="24"/>
          <w:szCs w:val="24"/>
          <w:lang w:eastAsia="et-EE"/>
        </w:rPr>
      </w:pPr>
      <w:r w:rsidRPr="00096B24">
        <w:rPr>
          <w:rFonts w:ascii="Times New Roman" w:hAnsi="Times New Roman" w:cs="Times New Roman"/>
          <w:sz w:val="24"/>
          <w:szCs w:val="24"/>
          <w:lang w:eastAsia="et-EE"/>
        </w:rPr>
        <w:t>Kõik raviasutused</w:t>
      </w:r>
    </w:p>
    <w:p w14:paraId="32EA68B5" w14:textId="77777777" w:rsidR="00CF52DF" w:rsidRPr="00096B24" w:rsidRDefault="00CF52DF" w:rsidP="00096B24">
      <w:pPr>
        <w:pStyle w:val="NoSpacing"/>
        <w:numPr>
          <w:ilvl w:val="0"/>
          <w:numId w:val="13"/>
        </w:numPr>
        <w:suppressAutoHyphens/>
        <w:autoSpaceDN w:val="0"/>
        <w:jc w:val="both"/>
        <w:rPr>
          <w:rFonts w:ascii="Times New Roman" w:hAnsi="Times New Roman" w:cs="Times New Roman"/>
          <w:sz w:val="24"/>
          <w:szCs w:val="24"/>
          <w:lang w:eastAsia="et-EE"/>
        </w:rPr>
      </w:pPr>
      <w:r w:rsidRPr="00096B24">
        <w:rPr>
          <w:rFonts w:ascii="Times New Roman" w:hAnsi="Times New Roman" w:cs="Times New Roman"/>
          <w:sz w:val="24"/>
          <w:szCs w:val="24"/>
          <w:lang w:eastAsia="et-EE"/>
        </w:rPr>
        <w:t xml:space="preserve">Raviteenuse tüüp: ambulatoorne taastusravi, ambulatoorne v.a päevaravi, iseseisev statsionaarne </w:t>
      </w:r>
      <w:proofErr w:type="spellStart"/>
      <w:r w:rsidRPr="00096B24">
        <w:rPr>
          <w:rFonts w:ascii="Times New Roman" w:hAnsi="Times New Roman" w:cs="Times New Roman"/>
          <w:sz w:val="24"/>
          <w:szCs w:val="24"/>
          <w:lang w:eastAsia="et-EE"/>
        </w:rPr>
        <w:t>õendusabi</w:t>
      </w:r>
      <w:proofErr w:type="spellEnd"/>
      <w:r w:rsidRPr="00096B24">
        <w:rPr>
          <w:rFonts w:ascii="Times New Roman" w:hAnsi="Times New Roman" w:cs="Times New Roman"/>
          <w:sz w:val="24"/>
          <w:szCs w:val="24"/>
          <w:lang w:eastAsia="et-EE"/>
        </w:rPr>
        <w:t xml:space="preserve">, koduõendus, päevaravi ja päevakirurgia, statsionaarne, statsionaarne taastusravi. </w:t>
      </w:r>
    </w:p>
    <w:p w14:paraId="65BFC842" w14:textId="77777777" w:rsidR="00CF52DF" w:rsidRPr="00096B24" w:rsidRDefault="00CF52DF" w:rsidP="00096B24">
      <w:pPr>
        <w:pStyle w:val="NoSpacing"/>
        <w:jc w:val="both"/>
        <w:rPr>
          <w:rFonts w:ascii="Times New Roman" w:hAnsi="Times New Roman" w:cs="Times New Roman"/>
          <w:sz w:val="24"/>
          <w:szCs w:val="24"/>
          <w:lang w:eastAsia="et-EE"/>
        </w:rPr>
      </w:pPr>
    </w:p>
    <w:p w14:paraId="0A33957D" w14:textId="63FFB0F3" w:rsidR="00CF52DF" w:rsidRPr="00096B24" w:rsidRDefault="00CF52DF" w:rsidP="00096B24">
      <w:pPr>
        <w:spacing w:after="0" w:line="240" w:lineRule="auto"/>
        <w:jc w:val="both"/>
        <w:rPr>
          <w:rFonts w:ascii="Times New Roman" w:hAnsi="Times New Roman" w:cs="Times New Roman"/>
          <w:sz w:val="24"/>
          <w:szCs w:val="24"/>
          <w:lang w:eastAsia="et-EE"/>
        </w:rPr>
      </w:pPr>
      <w:r w:rsidRPr="00096B24">
        <w:rPr>
          <w:rFonts w:ascii="Times New Roman" w:hAnsi="Times New Roman" w:cs="Times New Roman"/>
          <w:sz w:val="24"/>
          <w:szCs w:val="24"/>
          <w:lang w:eastAsia="et-EE"/>
        </w:rPr>
        <w:t xml:space="preserve">Päringusse tuli 2586 raviarvet 150 isiku kohta.  </w:t>
      </w:r>
    </w:p>
    <w:p w14:paraId="63343EC1" w14:textId="77777777" w:rsidR="00AC2C33" w:rsidRPr="00096B24" w:rsidRDefault="00AC2C33" w:rsidP="00096B24">
      <w:pPr>
        <w:spacing w:after="0" w:line="240" w:lineRule="auto"/>
        <w:jc w:val="both"/>
        <w:rPr>
          <w:rFonts w:ascii="Times New Roman" w:hAnsi="Times New Roman" w:cs="Times New Roman"/>
          <w:sz w:val="24"/>
          <w:szCs w:val="24"/>
          <w:lang w:eastAsia="et-EE"/>
        </w:rPr>
      </w:pPr>
    </w:p>
    <w:p w14:paraId="77FAA59D" w14:textId="77777777" w:rsidR="00CF52DF" w:rsidRPr="00096B24" w:rsidRDefault="00CF52DF" w:rsidP="00096B24">
      <w:pPr>
        <w:pStyle w:val="NoSpacing"/>
        <w:jc w:val="both"/>
        <w:rPr>
          <w:rFonts w:ascii="Times New Roman" w:hAnsi="Times New Roman" w:cs="Times New Roman"/>
          <w:color w:val="000000" w:themeColor="text1"/>
          <w:sz w:val="24"/>
          <w:szCs w:val="24"/>
          <w:lang w:eastAsia="et-EE"/>
        </w:rPr>
      </w:pPr>
      <w:r w:rsidRPr="00096B24">
        <w:rPr>
          <w:rFonts w:ascii="Times New Roman" w:hAnsi="Times New Roman" w:cs="Times New Roman"/>
          <w:color w:val="000000" w:themeColor="text1"/>
          <w:sz w:val="24"/>
          <w:szCs w:val="24"/>
          <w:lang w:eastAsia="et-EE"/>
        </w:rPr>
        <w:t xml:space="preserve">I päringuga tuvastatud isikud eraldasime kahte gruppi: </w:t>
      </w:r>
    </w:p>
    <w:p w14:paraId="65B063A1" w14:textId="77777777" w:rsidR="00CF52DF" w:rsidRPr="00096B24" w:rsidRDefault="00CF52DF" w:rsidP="00096B24">
      <w:pPr>
        <w:pStyle w:val="ListParagraph"/>
        <w:numPr>
          <w:ilvl w:val="0"/>
          <w:numId w:val="14"/>
        </w:numPr>
        <w:autoSpaceDN w:val="0"/>
        <w:spacing w:after="160"/>
        <w:jc w:val="both"/>
        <w:rPr>
          <w:lang w:eastAsia="et-EE"/>
        </w:rPr>
      </w:pPr>
      <w:r w:rsidRPr="00096B24">
        <w:rPr>
          <w:b/>
          <w:bCs/>
          <w:color w:val="000000" w:themeColor="text1"/>
          <w:lang w:eastAsia="et-EE"/>
        </w:rPr>
        <w:t xml:space="preserve">Plaanilise puusaliigese </w:t>
      </w:r>
      <w:proofErr w:type="spellStart"/>
      <w:r w:rsidRPr="00096B24">
        <w:rPr>
          <w:b/>
          <w:bCs/>
          <w:color w:val="000000" w:themeColor="text1"/>
          <w:lang w:eastAsia="et-EE"/>
        </w:rPr>
        <w:t>endoproteesimise</w:t>
      </w:r>
      <w:proofErr w:type="spellEnd"/>
      <w:r w:rsidRPr="00096B24">
        <w:rPr>
          <w:b/>
          <w:bCs/>
          <w:color w:val="000000" w:themeColor="text1"/>
          <w:lang w:eastAsia="et-EE"/>
        </w:rPr>
        <w:t xml:space="preserve"> läbinud isikud</w:t>
      </w:r>
      <w:r w:rsidRPr="00096B24">
        <w:rPr>
          <w:color w:val="000000" w:themeColor="text1"/>
          <w:lang w:eastAsia="et-EE"/>
        </w:rPr>
        <w:t xml:space="preserve"> – raviarvel DRG-grupp </w:t>
      </w:r>
      <w:r w:rsidRPr="00096B24">
        <w:rPr>
          <w:lang w:eastAsia="et-EE"/>
        </w:rPr>
        <w:t xml:space="preserve">gruppi 209D, 209E või 209O ja ei ole diagnoosi S72.xx. </w:t>
      </w:r>
    </w:p>
    <w:p w14:paraId="3AEB1166" w14:textId="77777777" w:rsidR="00CF52DF" w:rsidRPr="00096B24" w:rsidRDefault="00CF52DF" w:rsidP="00096B24">
      <w:pPr>
        <w:pStyle w:val="ListParagraph"/>
        <w:jc w:val="both"/>
        <w:rPr>
          <w:color w:val="000000" w:themeColor="text1"/>
          <w:lang w:eastAsia="et-EE"/>
        </w:rPr>
      </w:pPr>
      <w:r w:rsidRPr="00096B24">
        <w:rPr>
          <w:color w:val="000000" w:themeColor="text1"/>
          <w:lang w:eastAsia="et-EE"/>
        </w:rPr>
        <w:lastRenderedPageBreak/>
        <w:t xml:space="preserve">Kokku 1406 raviarvet, 8 partnerilt. </w:t>
      </w:r>
    </w:p>
    <w:p w14:paraId="67073DD5" w14:textId="77777777" w:rsidR="00CF52DF" w:rsidRPr="00096B24" w:rsidRDefault="00CF52DF" w:rsidP="00096B24">
      <w:pPr>
        <w:pStyle w:val="ListParagraph"/>
        <w:jc w:val="both"/>
        <w:rPr>
          <w:color w:val="000000" w:themeColor="text1"/>
          <w:lang w:eastAsia="et-EE"/>
        </w:rPr>
      </w:pPr>
      <w:r w:rsidRPr="00096B24">
        <w:rPr>
          <w:color w:val="000000" w:themeColor="text1"/>
          <w:lang w:eastAsia="et-EE"/>
        </w:rPr>
        <w:t xml:space="preserve">Valimi suurusega 120 isikut moodustasime järgnevalt – igalt partnerilt kaasati 10 isiku raviarvega seotud ravijuhud, ülejäänud 40 isiku raviarvega seotud ravijuhud jaotati proportsionaalselt. </w:t>
      </w:r>
    </w:p>
    <w:p w14:paraId="1BDC1509" w14:textId="77777777" w:rsidR="00CF52DF" w:rsidRPr="00096B24" w:rsidRDefault="00CF52DF" w:rsidP="00096B24">
      <w:pPr>
        <w:pStyle w:val="ListParagraph"/>
        <w:jc w:val="both"/>
        <w:rPr>
          <w:color w:val="000000" w:themeColor="text1"/>
          <w:lang w:eastAsia="et-EE"/>
        </w:rPr>
      </w:pPr>
      <w:r w:rsidRPr="00096B24">
        <w:rPr>
          <w:color w:val="000000" w:themeColor="text1"/>
          <w:lang w:eastAsia="et-EE"/>
        </w:rPr>
        <w:t xml:space="preserve">II päringu raviarvete läbivaatamisel eemaldasime valimist 7 isiku ravijuhud, kuna isik oli ühe kalendriaasta jooksul läbinud kaks puusaliigese </w:t>
      </w:r>
      <w:proofErr w:type="spellStart"/>
      <w:r w:rsidRPr="00096B24">
        <w:rPr>
          <w:color w:val="000000" w:themeColor="text1"/>
          <w:lang w:eastAsia="et-EE"/>
        </w:rPr>
        <w:t>endoproteesimist</w:t>
      </w:r>
      <w:proofErr w:type="spellEnd"/>
      <w:r w:rsidRPr="00096B24">
        <w:rPr>
          <w:rStyle w:val="FootnoteReference"/>
          <w:color w:val="000000" w:themeColor="text1"/>
          <w:lang w:eastAsia="et-EE"/>
        </w:rPr>
        <w:footnoteReference w:id="3"/>
      </w:r>
      <w:r w:rsidRPr="00096B24">
        <w:rPr>
          <w:color w:val="000000" w:themeColor="text1"/>
          <w:lang w:eastAsia="et-EE"/>
        </w:rPr>
        <w:t xml:space="preserve">. Ravijuhtude arvude ümberjaotamine partnerite lõikes ei olnud vajalik, kuna välja jäetud juhud ei mõjutanud jaotuse proportsioone.  </w:t>
      </w:r>
    </w:p>
    <w:p w14:paraId="651FA906" w14:textId="77777777" w:rsidR="00CF52DF" w:rsidRPr="00096B24" w:rsidRDefault="00CF52DF" w:rsidP="00096B24">
      <w:pPr>
        <w:pStyle w:val="ListParagraph"/>
        <w:numPr>
          <w:ilvl w:val="0"/>
          <w:numId w:val="14"/>
        </w:numPr>
        <w:autoSpaceDN w:val="0"/>
        <w:spacing w:after="160"/>
        <w:jc w:val="both"/>
        <w:rPr>
          <w:lang w:eastAsia="et-EE"/>
        </w:rPr>
      </w:pPr>
      <w:r w:rsidRPr="00096B24">
        <w:rPr>
          <w:b/>
          <w:bCs/>
          <w:lang w:eastAsia="et-EE"/>
        </w:rPr>
        <w:t xml:space="preserve">Puusaliigese </w:t>
      </w:r>
      <w:proofErr w:type="spellStart"/>
      <w:r w:rsidRPr="00096B24">
        <w:rPr>
          <w:b/>
          <w:bCs/>
          <w:lang w:eastAsia="et-EE"/>
        </w:rPr>
        <w:t>endoproteesimine</w:t>
      </w:r>
      <w:proofErr w:type="spellEnd"/>
      <w:r w:rsidRPr="00096B24">
        <w:rPr>
          <w:b/>
          <w:bCs/>
          <w:lang w:eastAsia="et-EE"/>
        </w:rPr>
        <w:t xml:space="preserve"> trauma tagajärjel</w:t>
      </w:r>
      <w:r w:rsidRPr="00096B24">
        <w:rPr>
          <w:lang w:eastAsia="et-EE"/>
        </w:rPr>
        <w:t xml:space="preserve"> - </w:t>
      </w:r>
      <w:r w:rsidRPr="00096B24">
        <w:rPr>
          <w:color w:val="000000" w:themeColor="text1"/>
          <w:lang w:eastAsia="et-EE"/>
        </w:rPr>
        <w:t xml:space="preserve">raviarvel DRG-grupp </w:t>
      </w:r>
      <w:r w:rsidRPr="00096B24">
        <w:rPr>
          <w:lang w:eastAsia="et-EE"/>
        </w:rPr>
        <w:t>gruppi 209D, 209E või 209O ja diagnoos S72.xx.</w:t>
      </w:r>
    </w:p>
    <w:p w14:paraId="0AA43236" w14:textId="77777777" w:rsidR="00CF52DF" w:rsidRPr="00096B24" w:rsidRDefault="00CF52DF" w:rsidP="00096B24">
      <w:pPr>
        <w:pStyle w:val="ListParagraph"/>
        <w:jc w:val="both"/>
        <w:rPr>
          <w:color w:val="000000" w:themeColor="text1"/>
          <w:lang w:eastAsia="et-EE"/>
        </w:rPr>
      </w:pPr>
      <w:r w:rsidRPr="00096B24">
        <w:rPr>
          <w:color w:val="000000" w:themeColor="text1"/>
          <w:lang w:eastAsia="et-EE"/>
        </w:rPr>
        <w:t xml:space="preserve">Kokku 486 raviarvet, 7 partnerilt. Jätkasime valimi moodustamist 4 enim puusaliigese </w:t>
      </w:r>
      <w:proofErr w:type="spellStart"/>
      <w:r w:rsidRPr="00096B24">
        <w:rPr>
          <w:color w:val="000000" w:themeColor="text1"/>
          <w:lang w:eastAsia="et-EE"/>
        </w:rPr>
        <w:t>endoproteesimist</w:t>
      </w:r>
      <w:proofErr w:type="spellEnd"/>
      <w:r w:rsidRPr="00096B24">
        <w:rPr>
          <w:color w:val="000000" w:themeColor="text1"/>
          <w:lang w:eastAsia="et-EE"/>
        </w:rPr>
        <w:t xml:space="preserve"> teostanud partneriga (447 raviarvet). </w:t>
      </w:r>
    </w:p>
    <w:p w14:paraId="5826EBBA" w14:textId="77777777" w:rsidR="00CF52DF" w:rsidRPr="00096B24" w:rsidRDefault="00CF52DF" w:rsidP="00096B24">
      <w:pPr>
        <w:spacing w:after="0" w:line="240" w:lineRule="auto"/>
        <w:ind w:left="708"/>
        <w:contextualSpacing/>
        <w:jc w:val="both"/>
        <w:rPr>
          <w:rFonts w:ascii="Times New Roman" w:hAnsi="Times New Roman" w:cs="Times New Roman"/>
          <w:color w:val="000000" w:themeColor="text1"/>
          <w:sz w:val="24"/>
          <w:szCs w:val="24"/>
          <w:lang w:eastAsia="et-EE"/>
        </w:rPr>
      </w:pPr>
      <w:r w:rsidRPr="00096B24">
        <w:rPr>
          <w:rFonts w:ascii="Times New Roman" w:hAnsi="Times New Roman" w:cs="Times New Roman"/>
          <w:color w:val="000000" w:themeColor="text1"/>
          <w:sz w:val="24"/>
          <w:szCs w:val="24"/>
          <w:lang w:eastAsia="et-EE"/>
        </w:rPr>
        <w:t xml:space="preserve">Valimi suurusega 30 isikut moodustasime proportsionaalselt nelja partneri vahel. </w:t>
      </w:r>
    </w:p>
    <w:p w14:paraId="682E1B8E" w14:textId="77777777" w:rsidR="00CF52DF" w:rsidRPr="00096B24" w:rsidRDefault="00CF52DF" w:rsidP="00096B24">
      <w:pPr>
        <w:pStyle w:val="ListParagraph"/>
        <w:jc w:val="both"/>
        <w:rPr>
          <w:color w:val="000000" w:themeColor="text1"/>
          <w:lang w:eastAsia="et-EE"/>
        </w:rPr>
      </w:pPr>
      <w:r w:rsidRPr="00096B24">
        <w:rPr>
          <w:color w:val="000000" w:themeColor="text1"/>
          <w:lang w:eastAsia="et-EE"/>
        </w:rPr>
        <w:t xml:space="preserve">II päringu raviarvete läbivaatamisel eemaldasime valimist 3 isiku ravijuhud, kuna isik oli ühe kalendriaasta jooksul läbinud kaks liigese </w:t>
      </w:r>
      <w:proofErr w:type="spellStart"/>
      <w:r w:rsidRPr="00096B24">
        <w:rPr>
          <w:color w:val="000000" w:themeColor="text1"/>
          <w:lang w:eastAsia="et-EE"/>
        </w:rPr>
        <w:t>endoproteesimist</w:t>
      </w:r>
      <w:proofErr w:type="spellEnd"/>
      <w:r w:rsidRPr="00096B24">
        <w:rPr>
          <w:color w:val="000000" w:themeColor="text1"/>
          <w:lang w:eastAsia="et-EE"/>
        </w:rPr>
        <w:t xml:space="preserve">. Ravijuhtude eemaldamine ei mõjutanud ravijuhtude proportsionaalset jaotust partnerite lõikes. </w:t>
      </w:r>
    </w:p>
    <w:p w14:paraId="4BE40062" w14:textId="77777777" w:rsidR="00CF52DF" w:rsidRPr="00096B24" w:rsidRDefault="00CF52DF" w:rsidP="00096B24">
      <w:pPr>
        <w:pStyle w:val="NoSpacing"/>
        <w:jc w:val="both"/>
        <w:rPr>
          <w:rFonts w:ascii="Times New Roman" w:hAnsi="Times New Roman" w:cs="Times New Roman"/>
          <w:color w:val="000000" w:themeColor="text1"/>
          <w:sz w:val="24"/>
          <w:szCs w:val="24"/>
          <w:lang w:eastAsia="et-EE"/>
        </w:rPr>
      </w:pPr>
      <w:r w:rsidRPr="00096B24">
        <w:rPr>
          <w:rFonts w:ascii="Times New Roman" w:hAnsi="Times New Roman" w:cs="Times New Roman"/>
          <w:color w:val="000000" w:themeColor="text1"/>
          <w:sz w:val="24"/>
          <w:szCs w:val="24"/>
          <w:lang w:eastAsia="et-EE"/>
        </w:rPr>
        <w:t xml:space="preserve">I päringuga tuvastasime 3 raviarvet DRG grupist 209O. Kahe puhul tegemist </w:t>
      </w:r>
      <w:proofErr w:type="spellStart"/>
      <w:r w:rsidRPr="00096B24">
        <w:rPr>
          <w:rFonts w:ascii="Times New Roman" w:hAnsi="Times New Roman" w:cs="Times New Roman"/>
          <w:color w:val="000000" w:themeColor="text1"/>
          <w:sz w:val="24"/>
          <w:szCs w:val="24"/>
          <w:lang w:eastAsia="et-EE"/>
        </w:rPr>
        <w:t>artroskoopilise</w:t>
      </w:r>
      <w:proofErr w:type="spellEnd"/>
      <w:r w:rsidRPr="00096B24">
        <w:rPr>
          <w:rFonts w:ascii="Times New Roman" w:hAnsi="Times New Roman" w:cs="Times New Roman"/>
          <w:color w:val="000000" w:themeColor="text1"/>
          <w:sz w:val="24"/>
          <w:szCs w:val="24"/>
          <w:lang w:eastAsia="et-EE"/>
        </w:rPr>
        <w:t xml:space="preserve"> meniski </w:t>
      </w:r>
      <w:proofErr w:type="spellStart"/>
      <w:r w:rsidRPr="00096B24">
        <w:rPr>
          <w:rFonts w:ascii="Times New Roman" w:hAnsi="Times New Roman" w:cs="Times New Roman"/>
          <w:color w:val="000000" w:themeColor="text1"/>
          <w:sz w:val="24"/>
          <w:szCs w:val="24"/>
          <w:lang w:eastAsia="et-EE"/>
        </w:rPr>
        <w:t>resektsiooniga</w:t>
      </w:r>
      <w:proofErr w:type="spellEnd"/>
      <w:r w:rsidRPr="00096B24">
        <w:rPr>
          <w:rFonts w:ascii="Times New Roman" w:hAnsi="Times New Roman" w:cs="Times New Roman"/>
          <w:color w:val="000000" w:themeColor="text1"/>
          <w:sz w:val="24"/>
          <w:szCs w:val="24"/>
          <w:lang w:eastAsia="et-EE"/>
        </w:rPr>
        <w:t xml:space="preserve"> ja kolmanda puhul puudusid Haigekassa andmebaasis operatsiooni arvele järgnevad arved, mis ei võimaldanud jälgida patsiendi edasist teekonda. </w:t>
      </w:r>
    </w:p>
    <w:p w14:paraId="04EF9BBA" w14:textId="77777777" w:rsidR="00CF52DF" w:rsidRPr="00096B24" w:rsidRDefault="00CF52DF" w:rsidP="00096B24">
      <w:pPr>
        <w:pStyle w:val="NoSpacing"/>
        <w:jc w:val="both"/>
        <w:rPr>
          <w:rFonts w:ascii="Times New Roman" w:hAnsi="Times New Roman" w:cs="Times New Roman"/>
          <w:color w:val="000000" w:themeColor="text1"/>
          <w:sz w:val="24"/>
          <w:szCs w:val="24"/>
          <w:lang w:eastAsia="et-EE"/>
        </w:rPr>
      </w:pPr>
    </w:p>
    <w:p w14:paraId="7735E62A" w14:textId="4734EB0D" w:rsidR="00CF52DF" w:rsidRPr="00096B24" w:rsidRDefault="00CF52DF" w:rsidP="00096B24">
      <w:pPr>
        <w:pStyle w:val="NoSpacing"/>
        <w:jc w:val="both"/>
        <w:rPr>
          <w:rFonts w:ascii="Times New Roman" w:hAnsi="Times New Roman" w:cs="Times New Roman"/>
          <w:sz w:val="24"/>
          <w:szCs w:val="24"/>
        </w:rPr>
      </w:pPr>
      <w:r w:rsidRPr="00096B24">
        <w:rPr>
          <w:rFonts w:ascii="Times New Roman" w:hAnsi="Times New Roman" w:cs="Times New Roman"/>
          <w:color w:val="000000" w:themeColor="text1"/>
          <w:sz w:val="24"/>
          <w:szCs w:val="24"/>
          <w:lang w:eastAsia="et-EE"/>
        </w:rPr>
        <w:t xml:space="preserve">Kliinilise kodeerimise (DRG-grupid, RHK-10 ja </w:t>
      </w:r>
      <w:r w:rsidRPr="00096B24">
        <w:rPr>
          <w:rFonts w:ascii="Times New Roman" w:hAnsi="Times New Roman" w:cs="Times New Roman"/>
          <w:sz w:val="24"/>
          <w:szCs w:val="24"/>
        </w:rPr>
        <w:t xml:space="preserve">NOMESCO) toimub puusaliigese </w:t>
      </w:r>
      <w:proofErr w:type="spellStart"/>
      <w:r w:rsidRPr="00096B24">
        <w:rPr>
          <w:rFonts w:ascii="Times New Roman" w:hAnsi="Times New Roman" w:cs="Times New Roman"/>
          <w:sz w:val="24"/>
          <w:szCs w:val="24"/>
        </w:rPr>
        <w:t>endoproteesimise</w:t>
      </w:r>
      <w:proofErr w:type="spellEnd"/>
      <w:r w:rsidRPr="00096B24">
        <w:rPr>
          <w:rFonts w:ascii="Times New Roman" w:hAnsi="Times New Roman" w:cs="Times New Roman"/>
          <w:sz w:val="24"/>
          <w:szCs w:val="24"/>
        </w:rPr>
        <w:t xml:space="preserve"> ravijuhtude alusel 140 isiku osas kokku kaheksalt partnerilt. Kliinilise kodeerimise osas antakse partneritele sihtvaliku lõppedes tagasiside ja koostatakse kokkuvõte puusaliigese </w:t>
      </w:r>
      <w:proofErr w:type="spellStart"/>
      <w:r w:rsidRPr="00096B24">
        <w:rPr>
          <w:rFonts w:ascii="Times New Roman" w:hAnsi="Times New Roman" w:cs="Times New Roman"/>
          <w:sz w:val="24"/>
          <w:szCs w:val="24"/>
        </w:rPr>
        <w:t>endoproteesimise</w:t>
      </w:r>
      <w:proofErr w:type="spellEnd"/>
      <w:r w:rsidRPr="00096B24">
        <w:rPr>
          <w:rFonts w:ascii="Times New Roman" w:hAnsi="Times New Roman" w:cs="Times New Roman"/>
          <w:sz w:val="24"/>
          <w:szCs w:val="24"/>
        </w:rPr>
        <w:t xml:space="preserve"> raviteekonna juhtprojektile sisendiks. </w:t>
      </w:r>
    </w:p>
    <w:p w14:paraId="69CBD0EB" w14:textId="77777777" w:rsidR="00CF52DF" w:rsidRPr="00096B24" w:rsidRDefault="00CF52DF" w:rsidP="00096B24">
      <w:pPr>
        <w:pStyle w:val="NoSpacing"/>
        <w:jc w:val="both"/>
        <w:rPr>
          <w:rFonts w:ascii="Times New Roman" w:hAnsi="Times New Roman" w:cs="Times New Roman"/>
          <w:sz w:val="24"/>
          <w:szCs w:val="24"/>
        </w:rPr>
      </w:pPr>
      <w:r w:rsidRPr="00096B24">
        <w:rPr>
          <w:rFonts w:ascii="Times New Roman" w:hAnsi="Times New Roman" w:cs="Times New Roman"/>
          <w:sz w:val="24"/>
          <w:szCs w:val="24"/>
        </w:rPr>
        <w:t xml:space="preserve">Patsiendi teekonna kaardistamine toimub samade isikute </w:t>
      </w:r>
      <w:proofErr w:type="spellStart"/>
      <w:r w:rsidRPr="00096B24">
        <w:rPr>
          <w:rFonts w:ascii="Times New Roman" w:hAnsi="Times New Roman" w:cs="Times New Roman"/>
          <w:sz w:val="24"/>
          <w:szCs w:val="24"/>
        </w:rPr>
        <w:t>endoproteesimisele</w:t>
      </w:r>
      <w:proofErr w:type="spellEnd"/>
      <w:r w:rsidRPr="00096B24">
        <w:rPr>
          <w:rFonts w:ascii="Times New Roman" w:hAnsi="Times New Roman" w:cs="Times New Roman"/>
          <w:sz w:val="24"/>
          <w:szCs w:val="24"/>
        </w:rPr>
        <w:t xml:space="preserve"> eelneva 6 kuu ja 12 järgneva kuu ravijuhtude alusel Tervise Infosüsteemi sisestatud dokumentide alusel. Kaardistamise tulemusel valminud kokkuvõte on mõeldud sisendiks puusaliigese </w:t>
      </w:r>
      <w:proofErr w:type="spellStart"/>
      <w:r w:rsidRPr="00096B24">
        <w:rPr>
          <w:rFonts w:ascii="Times New Roman" w:hAnsi="Times New Roman" w:cs="Times New Roman"/>
          <w:sz w:val="24"/>
          <w:szCs w:val="24"/>
        </w:rPr>
        <w:t>endoproteesimise</w:t>
      </w:r>
      <w:proofErr w:type="spellEnd"/>
      <w:r w:rsidRPr="00096B24">
        <w:rPr>
          <w:rFonts w:ascii="Times New Roman" w:hAnsi="Times New Roman" w:cs="Times New Roman"/>
          <w:sz w:val="24"/>
          <w:szCs w:val="24"/>
        </w:rPr>
        <w:t xml:space="preserve"> raviteekonna juhtprojektile. </w:t>
      </w:r>
    </w:p>
    <w:p w14:paraId="4FDFC675" w14:textId="281F981D" w:rsidR="0094076B" w:rsidRPr="00096B24" w:rsidRDefault="0094076B" w:rsidP="00096B24">
      <w:pPr>
        <w:suppressAutoHyphens/>
        <w:spacing w:after="0" w:line="240" w:lineRule="auto"/>
        <w:jc w:val="both"/>
        <w:rPr>
          <w:rFonts w:ascii="Times New Roman" w:eastAsia="Calibri" w:hAnsi="Times New Roman" w:cs="Times New Roman"/>
          <w:noProof/>
          <w:sz w:val="24"/>
          <w:szCs w:val="24"/>
          <w:lang w:eastAsia="et-EE"/>
        </w:rPr>
      </w:pPr>
    </w:p>
    <w:p w14:paraId="3A007438" w14:textId="5109BBB6" w:rsidR="006E51AF" w:rsidRPr="00096B24" w:rsidRDefault="006E51AF" w:rsidP="00096B24">
      <w:pPr>
        <w:pStyle w:val="Heading1"/>
        <w:numPr>
          <w:ilvl w:val="1"/>
          <w:numId w:val="31"/>
        </w:numPr>
        <w:spacing w:before="0" w:after="240" w:line="240" w:lineRule="auto"/>
        <w:jc w:val="both"/>
        <w:rPr>
          <w:rFonts w:cs="Times New Roman"/>
          <w:b w:val="0"/>
          <w:bCs/>
          <w:szCs w:val="24"/>
        </w:rPr>
      </w:pPr>
      <w:bookmarkStart w:id="3" w:name="_Toc64621592"/>
      <w:bookmarkStart w:id="4" w:name="_Hlk62484440"/>
      <w:r w:rsidRPr="00096B24">
        <w:rPr>
          <w:rStyle w:val="Heading1Char"/>
          <w:rFonts w:cs="Times New Roman"/>
          <w:b/>
          <w:bCs/>
          <w:szCs w:val="24"/>
        </w:rPr>
        <w:t>Andmete kogumine, hindamine ja analüüs</w:t>
      </w:r>
      <w:bookmarkEnd w:id="3"/>
      <w:r w:rsidRPr="00096B24">
        <w:rPr>
          <w:rFonts w:cs="Times New Roman"/>
          <w:b w:val="0"/>
          <w:bCs/>
          <w:szCs w:val="24"/>
        </w:rPr>
        <w:t xml:space="preserve"> </w:t>
      </w:r>
      <w:bookmarkEnd w:id="4"/>
    </w:p>
    <w:p w14:paraId="3ED568D8" w14:textId="77777777" w:rsidR="00CF52DF" w:rsidRPr="00096B24" w:rsidRDefault="00CF52DF" w:rsidP="00096B24">
      <w:pPr>
        <w:pStyle w:val="NoSpacing"/>
        <w:jc w:val="both"/>
        <w:rPr>
          <w:rFonts w:ascii="Times New Roman" w:hAnsi="Times New Roman" w:cs="Times New Roman"/>
          <w:b/>
          <w:sz w:val="24"/>
          <w:szCs w:val="24"/>
          <w:lang w:eastAsia="et-EE"/>
        </w:rPr>
      </w:pPr>
      <w:r w:rsidRPr="00096B24">
        <w:rPr>
          <w:rFonts w:ascii="Times New Roman" w:hAnsi="Times New Roman" w:cs="Times New Roman"/>
          <w:b/>
          <w:sz w:val="24"/>
          <w:szCs w:val="24"/>
          <w:lang w:eastAsia="et-EE"/>
        </w:rPr>
        <w:t>Ravidokumentide (haigusloo) vormistuse hindamine</w:t>
      </w:r>
    </w:p>
    <w:p w14:paraId="1C23F42C" w14:textId="7329C320" w:rsidR="00CF52DF" w:rsidRPr="00096B24" w:rsidRDefault="00CF52DF" w:rsidP="00096B24">
      <w:pPr>
        <w:spacing w:after="0" w:line="240" w:lineRule="auto"/>
        <w:jc w:val="both"/>
        <w:rPr>
          <w:rFonts w:ascii="Times New Roman" w:hAnsi="Times New Roman" w:cs="Times New Roman"/>
          <w:sz w:val="24"/>
          <w:szCs w:val="24"/>
          <w:lang w:eastAsia="et-EE"/>
        </w:rPr>
      </w:pPr>
      <w:r w:rsidRPr="00096B24">
        <w:rPr>
          <w:rFonts w:ascii="Times New Roman" w:hAnsi="Times New Roman" w:cs="Times New Roman"/>
          <w:sz w:val="24"/>
          <w:szCs w:val="24"/>
          <w:lang w:eastAsia="et-EE"/>
        </w:rPr>
        <w:t>Lähtu</w:t>
      </w:r>
      <w:r w:rsidR="00A35E7C" w:rsidRPr="00096B24">
        <w:rPr>
          <w:rFonts w:ascii="Times New Roman" w:hAnsi="Times New Roman" w:cs="Times New Roman"/>
          <w:sz w:val="24"/>
          <w:szCs w:val="24"/>
          <w:lang w:eastAsia="et-EE"/>
        </w:rPr>
        <w:t>ti</w:t>
      </w:r>
      <w:r w:rsidRPr="00096B24">
        <w:rPr>
          <w:rFonts w:ascii="Times New Roman" w:hAnsi="Times New Roman" w:cs="Times New Roman"/>
          <w:sz w:val="24"/>
          <w:szCs w:val="24"/>
          <w:lang w:eastAsia="et-EE"/>
        </w:rPr>
        <w:t xml:space="preserve"> sotsiaalministri määrusest „Tervishoiuteenuse osutamise dokumenteerimise ning nende dokumentide säilitamise tingimused ja kord“, milles on sätetatud ravijuhu diagnooside dokumenteerimise, NCSP kodeerimise nõuded.</w:t>
      </w:r>
    </w:p>
    <w:p w14:paraId="2A5AFD53" w14:textId="77777777" w:rsidR="00CF52DF" w:rsidRPr="00096B24" w:rsidRDefault="00CF52DF" w:rsidP="00096B24">
      <w:pPr>
        <w:pStyle w:val="NoSpacing"/>
        <w:jc w:val="both"/>
        <w:rPr>
          <w:rFonts w:ascii="Times New Roman" w:hAnsi="Times New Roman" w:cs="Times New Roman"/>
          <w:sz w:val="24"/>
          <w:szCs w:val="24"/>
          <w:lang w:eastAsia="et-EE"/>
        </w:rPr>
      </w:pPr>
    </w:p>
    <w:p w14:paraId="7FB51B9C" w14:textId="77777777" w:rsidR="00CF52DF" w:rsidRPr="00096B24" w:rsidRDefault="00CF52DF" w:rsidP="00096B24">
      <w:pPr>
        <w:pStyle w:val="NoSpacing"/>
        <w:jc w:val="both"/>
        <w:rPr>
          <w:rFonts w:ascii="Times New Roman" w:hAnsi="Times New Roman" w:cs="Times New Roman"/>
          <w:b/>
          <w:sz w:val="24"/>
          <w:szCs w:val="24"/>
          <w:lang w:eastAsia="et-EE"/>
        </w:rPr>
      </w:pPr>
      <w:r w:rsidRPr="00096B24">
        <w:rPr>
          <w:rFonts w:ascii="Times New Roman" w:hAnsi="Times New Roman" w:cs="Times New Roman"/>
          <w:b/>
          <w:sz w:val="24"/>
          <w:szCs w:val="24"/>
          <w:lang w:eastAsia="et-EE"/>
        </w:rPr>
        <w:t>Ravidokumentide (haigusloo) sisuline hindamine</w:t>
      </w:r>
    </w:p>
    <w:p w14:paraId="4EEBAB0A" w14:textId="77174298" w:rsidR="00CF52DF" w:rsidRPr="00096B24" w:rsidRDefault="00CF52DF" w:rsidP="00096B24">
      <w:pPr>
        <w:spacing w:after="0" w:line="240" w:lineRule="auto"/>
        <w:jc w:val="both"/>
        <w:rPr>
          <w:rFonts w:ascii="Times New Roman" w:hAnsi="Times New Roman" w:cs="Times New Roman"/>
          <w:sz w:val="24"/>
          <w:szCs w:val="24"/>
          <w:lang w:eastAsia="et-EE"/>
        </w:rPr>
      </w:pPr>
      <w:r w:rsidRPr="00096B24">
        <w:rPr>
          <w:rFonts w:ascii="Times New Roman" w:hAnsi="Times New Roman" w:cs="Times New Roman"/>
          <w:sz w:val="24"/>
          <w:szCs w:val="24"/>
          <w:lang w:eastAsia="et-EE"/>
        </w:rPr>
        <w:t>Hinnat</w:t>
      </w:r>
      <w:r w:rsidR="00A35E7C" w:rsidRPr="00096B24">
        <w:rPr>
          <w:rFonts w:ascii="Times New Roman" w:hAnsi="Times New Roman" w:cs="Times New Roman"/>
          <w:sz w:val="24"/>
          <w:szCs w:val="24"/>
          <w:lang w:eastAsia="et-EE"/>
        </w:rPr>
        <w:t>i</w:t>
      </w:r>
      <w:r w:rsidRPr="00096B24">
        <w:rPr>
          <w:rFonts w:ascii="Times New Roman" w:hAnsi="Times New Roman" w:cs="Times New Roman"/>
          <w:sz w:val="24"/>
          <w:szCs w:val="24"/>
          <w:lang w:eastAsia="et-EE"/>
        </w:rPr>
        <w:t xml:space="preserve"> pöördumise põhjus, patsiendi terviseprobleemid, haigused,  teostatud uuringud, operatsioonid ja ravi haigusjuhu ajal.</w:t>
      </w:r>
      <w:r w:rsidRPr="00096B24">
        <w:rPr>
          <w:rFonts w:ascii="Times New Roman" w:hAnsi="Times New Roman" w:cs="Times New Roman"/>
          <w:sz w:val="24"/>
          <w:szCs w:val="24"/>
        </w:rPr>
        <w:t xml:space="preserve"> </w:t>
      </w:r>
      <w:r w:rsidR="00A35E7C" w:rsidRPr="00096B24">
        <w:rPr>
          <w:rFonts w:ascii="Times New Roman" w:hAnsi="Times New Roman" w:cs="Times New Roman"/>
          <w:sz w:val="24"/>
          <w:szCs w:val="24"/>
          <w:lang w:eastAsia="et-EE"/>
        </w:rPr>
        <w:t>Lisaks h</w:t>
      </w:r>
      <w:r w:rsidRPr="00096B24">
        <w:rPr>
          <w:rFonts w:ascii="Times New Roman" w:hAnsi="Times New Roman" w:cs="Times New Roman"/>
          <w:sz w:val="24"/>
          <w:szCs w:val="24"/>
          <w:lang w:eastAsia="et-EE"/>
        </w:rPr>
        <w:t>innat</w:t>
      </w:r>
      <w:r w:rsidR="00A35E7C" w:rsidRPr="00096B24">
        <w:rPr>
          <w:rFonts w:ascii="Times New Roman" w:hAnsi="Times New Roman" w:cs="Times New Roman"/>
          <w:sz w:val="24"/>
          <w:szCs w:val="24"/>
          <w:lang w:eastAsia="et-EE"/>
        </w:rPr>
        <w:t>i</w:t>
      </w:r>
      <w:r w:rsidRPr="00096B24">
        <w:rPr>
          <w:rFonts w:ascii="Times New Roman" w:hAnsi="Times New Roman" w:cs="Times New Roman"/>
          <w:sz w:val="24"/>
          <w:szCs w:val="24"/>
          <w:lang w:eastAsia="et-EE"/>
        </w:rPr>
        <w:t>, kas kõik raviepisoodi ajal käsitletud patsiendi terviseprobleemid, haigused ja kirurgilised protseduurid, operatsioonid on kodeeritud vastavalt RHK-10 ja NOMESCO (NCSP) põhimõtetele.</w:t>
      </w:r>
      <w:r w:rsidR="00A35E7C" w:rsidRPr="00096B24">
        <w:rPr>
          <w:rFonts w:ascii="Times New Roman" w:hAnsi="Times New Roman" w:cs="Times New Roman"/>
          <w:sz w:val="24"/>
          <w:szCs w:val="24"/>
          <w:lang w:eastAsia="et-EE"/>
        </w:rPr>
        <w:t xml:space="preserve"> </w:t>
      </w:r>
    </w:p>
    <w:p w14:paraId="420D7ADF" w14:textId="77777777" w:rsidR="00CF52DF" w:rsidRPr="00096B24" w:rsidRDefault="00CF52DF" w:rsidP="00096B24">
      <w:pPr>
        <w:pStyle w:val="NoSpacing"/>
        <w:jc w:val="both"/>
        <w:rPr>
          <w:rFonts w:ascii="Times New Roman" w:hAnsi="Times New Roman" w:cs="Times New Roman"/>
          <w:sz w:val="24"/>
          <w:szCs w:val="24"/>
          <w:lang w:eastAsia="et-EE"/>
        </w:rPr>
      </w:pPr>
    </w:p>
    <w:p w14:paraId="1A2F877E" w14:textId="77777777" w:rsidR="00CF52DF" w:rsidRPr="00096B24" w:rsidRDefault="00CF52DF" w:rsidP="00096B24">
      <w:pPr>
        <w:pStyle w:val="NoSpacing"/>
        <w:jc w:val="both"/>
        <w:rPr>
          <w:rFonts w:ascii="Times New Roman" w:hAnsi="Times New Roman" w:cs="Times New Roman"/>
          <w:b/>
          <w:sz w:val="24"/>
          <w:szCs w:val="24"/>
          <w:lang w:eastAsia="et-EE"/>
        </w:rPr>
      </w:pPr>
      <w:r w:rsidRPr="00096B24">
        <w:rPr>
          <w:rFonts w:ascii="Times New Roman" w:hAnsi="Times New Roman" w:cs="Times New Roman"/>
          <w:b/>
          <w:sz w:val="24"/>
          <w:szCs w:val="24"/>
          <w:lang w:eastAsia="et-EE"/>
        </w:rPr>
        <w:t>Raviarve vormistamise hindamine</w:t>
      </w:r>
    </w:p>
    <w:p w14:paraId="2C6DB561" w14:textId="0E6C0A2D" w:rsidR="00CF52DF" w:rsidRPr="00096B24" w:rsidRDefault="00A35E7C" w:rsidP="00096B24">
      <w:pPr>
        <w:spacing w:after="0" w:line="240" w:lineRule="auto"/>
        <w:jc w:val="both"/>
        <w:rPr>
          <w:rFonts w:ascii="Times New Roman" w:hAnsi="Times New Roman" w:cs="Times New Roman"/>
          <w:sz w:val="24"/>
          <w:szCs w:val="24"/>
          <w:lang w:eastAsia="et-EE"/>
        </w:rPr>
      </w:pPr>
      <w:r w:rsidRPr="00096B24">
        <w:rPr>
          <w:rFonts w:ascii="Times New Roman" w:hAnsi="Times New Roman" w:cs="Times New Roman"/>
          <w:sz w:val="24"/>
          <w:szCs w:val="24"/>
          <w:lang w:eastAsia="et-EE"/>
        </w:rPr>
        <w:t xml:space="preserve">Lähtuti </w:t>
      </w:r>
      <w:r w:rsidR="00CF52DF" w:rsidRPr="00096B24">
        <w:rPr>
          <w:rFonts w:ascii="Times New Roman" w:hAnsi="Times New Roman" w:cs="Times New Roman"/>
          <w:sz w:val="24"/>
          <w:szCs w:val="24"/>
          <w:lang w:eastAsia="et-EE"/>
        </w:rPr>
        <w:t>Sotsiaalministri 10.01.2002 määrus</w:t>
      </w:r>
      <w:r w:rsidRPr="00096B24">
        <w:rPr>
          <w:rFonts w:ascii="Times New Roman" w:hAnsi="Times New Roman" w:cs="Times New Roman"/>
          <w:sz w:val="24"/>
          <w:szCs w:val="24"/>
          <w:lang w:eastAsia="et-EE"/>
        </w:rPr>
        <w:t>est</w:t>
      </w:r>
      <w:r w:rsidR="00CF52DF" w:rsidRPr="00096B24">
        <w:rPr>
          <w:rFonts w:ascii="Times New Roman" w:hAnsi="Times New Roman" w:cs="Times New Roman"/>
          <w:sz w:val="24"/>
          <w:szCs w:val="24"/>
          <w:lang w:eastAsia="et-EE"/>
        </w:rPr>
        <w:t xml:space="preserve"> nr 13 „Tervishoiuteenuste loetelu kehtestamine“ § 1 lõi</w:t>
      </w:r>
      <w:r w:rsidRPr="00096B24">
        <w:rPr>
          <w:rFonts w:ascii="Times New Roman" w:hAnsi="Times New Roman" w:cs="Times New Roman"/>
          <w:sz w:val="24"/>
          <w:szCs w:val="24"/>
          <w:lang w:eastAsia="et-EE"/>
        </w:rPr>
        <w:t>kest</w:t>
      </w:r>
      <w:r w:rsidR="00CF52DF" w:rsidRPr="00096B24">
        <w:rPr>
          <w:rFonts w:ascii="Times New Roman" w:hAnsi="Times New Roman" w:cs="Times New Roman"/>
          <w:sz w:val="24"/>
          <w:szCs w:val="24"/>
          <w:lang w:eastAsia="et-EE"/>
        </w:rPr>
        <w:t xml:space="preserve">, mis sätestab, et tervishoiuteenuste loeteluna käsitletakse: </w:t>
      </w:r>
    </w:p>
    <w:p w14:paraId="07D42475" w14:textId="77777777" w:rsidR="00CF52DF" w:rsidRPr="00096B24" w:rsidRDefault="00CF52DF" w:rsidP="00096B24">
      <w:pPr>
        <w:spacing w:after="0" w:line="240" w:lineRule="auto"/>
        <w:jc w:val="both"/>
        <w:rPr>
          <w:rFonts w:ascii="Times New Roman" w:hAnsi="Times New Roman" w:cs="Times New Roman"/>
          <w:sz w:val="24"/>
          <w:szCs w:val="24"/>
          <w:lang w:eastAsia="et-EE"/>
        </w:rPr>
      </w:pPr>
      <w:r w:rsidRPr="00096B24">
        <w:rPr>
          <w:rFonts w:ascii="Times New Roman" w:hAnsi="Times New Roman" w:cs="Times New Roman"/>
          <w:sz w:val="24"/>
          <w:szCs w:val="24"/>
          <w:lang w:eastAsia="et-EE"/>
        </w:rPr>
        <w:t xml:space="preserve">1) Rahvusvahelises haiguste ja tervisega seotud probleemide statistilise klassifikatsiooni kümnendas väljaandes (RHK-10) loetletud haiguste diagnoosimise ja ravimisega seotud </w:t>
      </w:r>
      <w:r w:rsidRPr="00096B24">
        <w:rPr>
          <w:rFonts w:ascii="Times New Roman" w:hAnsi="Times New Roman" w:cs="Times New Roman"/>
          <w:sz w:val="24"/>
          <w:szCs w:val="24"/>
          <w:lang w:eastAsia="et-EE"/>
        </w:rPr>
        <w:lastRenderedPageBreak/>
        <w:t xml:space="preserve">tervishoiuteenused. Nimetatud klassifikatsiooni ingliskeelne nimetus ja lühend on </w:t>
      </w:r>
      <w:r w:rsidRPr="00096B24">
        <w:rPr>
          <w:rFonts w:ascii="Times New Roman" w:hAnsi="Times New Roman" w:cs="Times New Roman"/>
          <w:i/>
          <w:iCs/>
          <w:sz w:val="24"/>
          <w:szCs w:val="24"/>
          <w:lang w:eastAsia="et-EE"/>
        </w:rPr>
        <w:t xml:space="preserve">International </w:t>
      </w:r>
      <w:proofErr w:type="spellStart"/>
      <w:r w:rsidRPr="00096B24">
        <w:rPr>
          <w:rFonts w:ascii="Times New Roman" w:hAnsi="Times New Roman" w:cs="Times New Roman"/>
          <w:i/>
          <w:iCs/>
          <w:sz w:val="24"/>
          <w:szCs w:val="24"/>
          <w:lang w:eastAsia="et-EE"/>
        </w:rPr>
        <w:t>Statistical</w:t>
      </w:r>
      <w:proofErr w:type="spellEnd"/>
      <w:r w:rsidRPr="00096B24">
        <w:rPr>
          <w:rFonts w:ascii="Times New Roman" w:hAnsi="Times New Roman" w:cs="Times New Roman"/>
          <w:i/>
          <w:iCs/>
          <w:sz w:val="24"/>
          <w:szCs w:val="24"/>
          <w:lang w:eastAsia="et-EE"/>
        </w:rPr>
        <w:t xml:space="preserve"> </w:t>
      </w:r>
      <w:proofErr w:type="spellStart"/>
      <w:r w:rsidRPr="00096B24">
        <w:rPr>
          <w:rFonts w:ascii="Times New Roman" w:hAnsi="Times New Roman" w:cs="Times New Roman"/>
          <w:i/>
          <w:iCs/>
          <w:sz w:val="24"/>
          <w:szCs w:val="24"/>
          <w:lang w:eastAsia="et-EE"/>
        </w:rPr>
        <w:t>Classification</w:t>
      </w:r>
      <w:proofErr w:type="spellEnd"/>
      <w:r w:rsidRPr="00096B24">
        <w:rPr>
          <w:rFonts w:ascii="Times New Roman" w:hAnsi="Times New Roman" w:cs="Times New Roman"/>
          <w:i/>
          <w:iCs/>
          <w:sz w:val="24"/>
          <w:szCs w:val="24"/>
          <w:lang w:eastAsia="et-EE"/>
        </w:rPr>
        <w:t xml:space="preserve"> of </w:t>
      </w:r>
      <w:proofErr w:type="spellStart"/>
      <w:r w:rsidRPr="00096B24">
        <w:rPr>
          <w:rFonts w:ascii="Times New Roman" w:hAnsi="Times New Roman" w:cs="Times New Roman"/>
          <w:i/>
          <w:iCs/>
          <w:sz w:val="24"/>
          <w:szCs w:val="24"/>
          <w:lang w:eastAsia="et-EE"/>
        </w:rPr>
        <w:t>Diseases</w:t>
      </w:r>
      <w:proofErr w:type="spellEnd"/>
      <w:r w:rsidRPr="00096B24">
        <w:rPr>
          <w:rFonts w:ascii="Times New Roman" w:hAnsi="Times New Roman" w:cs="Times New Roman"/>
          <w:i/>
          <w:iCs/>
          <w:sz w:val="24"/>
          <w:szCs w:val="24"/>
          <w:lang w:eastAsia="et-EE"/>
        </w:rPr>
        <w:t xml:space="preserve"> and </w:t>
      </w:r>
      <w:proofErr w:type="spellStart"/>
      <w:r w:rsidRPr="00096B24">
        <w:rPr>
          <w:rFonts w:ascii="Times New Roman" w:hAnsi="Times New Roman" w:cs="Times New Roman"/>
          <w:i/>
          <w:iCs/>
          <w:sz w:val="24"/>
          <w:szCs w:val="24"/>
          <w:lang w:eastAsia="et-EE"/>
        </w:rPr>
        <w:t>Related</w:t>
      </w:r>
      <w:proofErr w:type="spellEnd"/>
      <w:r w:rsidRPr="00096B24">
        <w:rPr>
          <w:rFonts w:ascii="Times New Roman" w:hAnsi="Times New Roman" w:cs="Times New Roman"/>
          <w:i/>
          <w:iCs/>
          <w:sz w:val="24"/>
          <w:szCs w:val="24"/>
          <w:lang w:eastAsia="et-EE"/>
        </w:rPr>
        <w:t xml:space="preserve"> Health </w:t>
      </w:r>
      <w:proofErr w:type="spellStart"/>
      <w:r w:rsidRPr="00096B24">
        <w:rPr>
          <w:rFonts w:ascii="Times New Roman" w:hAnsi="Times New Roman" w:cs="Times New Roman"/>
          <w:i/>
          <w:iCs/>
          <w:sz w:val="24"/>
          <w:szCs w:val="24"/>
          <w:lang w:eastAsia="et-EE"/>
        </w:rPr>
        <w:t>Problems</w:t>
      </w:r>
      <w:proofErr w:type="spellEnd"/>
      <w:r w:rsidRPr="00096B24">
        <w:rPr>
          <w:rFonts w:ascii="Times New Roman" w:hAnsi="Times New Roman" w:cs="Times New Roman"/>
          <w:i/>
          <w:iCs/>
          <w:sz w:val="24"/>
          <w:szCs w:val="24"/>
          <w:lang w:eastAsia="et-EE"/>
        </w:rPr>
        <w:t xml:space="preserve"> </w:t>
      </w:r>
      <w:proofErr w:type="spellStart"/>
      <w:r w:rsidRPr="00096B24">
        <w:rPr>
          <w:rFonts w:ascii="Times New Roman" w:hAnsi="Times New Roman" w:cs="Times New Roman"/>
          <w:i/>
          <w:iCs/>
          <w:sz w:val="24"/>
          <w:szCs w:val="24"/>
          <w:lang w:eastAsia="et-EE"/>
        </w:rPr>
        <w:t>Tenth</w:t>
      </w:r>
      <w:proofErr w:type="spellEnd"/>
      <w:r w:rsidRPr="00096B24">
        <w:rPr>
          <w:rFonts w:ascii="Times New Roman" w:hAnsi="Times New Roman" w:cs="Times New Roman"/>
          <w:i/>
          <w:iCs/>
          <w:sz w:val="24"/>
          <w:szCs w:val="24"/>
          <w:lang w:eastAsia="et-EE"/>
        </w:rPr>
        <w:t xml:space="preserve"> </w:t>
      </w:r>
      <w:proofErr w:type="spellStart"/>
      <w:r w:rsidRPr="00096B24">
        <w:rPr>
          <w:rFonts w:ascii="Times New Roman" w:hAnsi="Times New Roman" w:cs="Times New Roman"/>
          <w:i/>
          <w:iCs/>
          <w:sz w:val="24"/>
          <w:szCs w:val="24"/>
          <w:lang w:eastAsia="et-EE"/>
        </w:rPr>
        <w:t>Revision</w:t>
      </w:r>
      <w:proofErr w:type="spellEnd"/>
      <w:r w:rsidRPr="00096B24">
        <w:rPr>
          <w:rFonts w:ascii="Times New Roman" w:hAnsi="Times New Roman" w:cs="Times New Roman"/>
          <w:sz w:val="24"/>
          <w:szCs w:val="24"/>
          <w:lang w:eastAsia="et-EE"/>
        </w:rPr>
        <w:t xml:space="preserve"> (ICD-10);</w:t>
      </w:r>
    </w:p>
    <w:p w14:paraId="7087444A" w14:textId="77777777" w:rsidR="00CF52DF" w:rsidRPr="00096B24" w:rsidRDefault="00CF52DF" w:rsidP="00096B24">
      <w:pPr>
        <w:spacing w:after="0" w:line="240" w:lineRule="auto"/>
        <w:jc w:val="both"/>
        <w:rPr>
          <w:rFonts w:ascii="Times New Roman" w:hAnsi="Times New Roman" w:cs="Times New Roman"/>
          <w:sz w:val="24"/>
          <w:szCs w:val="24"/>
          <w:lang w:eastAsia="et-EE"/>
        </w:rPr>
      </w:pPr>
      <w:r w:rsidRPr="00096B24">
        <w:rPr>
          <w:rFonts w:ascii="Times New Roman" w:hAnsi="Times New Roman" w:cs="Times New Roman"/>
          <w:sz w:val="24"/>
          <w:szCs w:val="24"/>
          <w:lang w:eastAsia="et-EE"/>
        </w:rPr>
        <w:t xml:space="preserve">2) Põhjamaade Meditsiinistatistika Komitee kirurgiliste protseduuride klassifikatsioonis loetletud kirurgilised protseduurid. Nimetatud klassifikatsiooni ingliskeelne nimetus ja lühend on </w:t>
      </w:r>
      <w:r w:rsidRPr="00096B24">
        <w:rPr>
          <w:rFonts w:ascii="Times New Roman" w:hAnsi="Times New Roman" w:cs="Times New Roman"/>
          <w:i/>
          <w:iCs/>
          <w:sz w:val="24"/>
          <w:szCs w:val="24"/>
          <w:lang w:eastAsia="et-EE"/>
        </w:rPr>
        <w:t xml:space="preserve">Nordic </w:t>
      </w:r>
      <w:proofErr w:type="spellStart"/>
      <w:r w:rsidRPr="00096B24">
        <w:rPr>
          <w:rFonts w:ascii="Times New Roman" w:hAnsi="Times New Roman" w:cs="Times New Roman"/>
          <w:i/>
          <w:iCs/>
          <w:sz w:val="24"/>
          <w:szCs w:val="24"/>
          <w:lang w:eastAsia="et-EE"/>
        </w:rPr>
        <w:t>Medico-Statistical</w:t>
      </w:r>
      <w:proofErr w:type="spellEnd"/>
      <w:r w:rsidRPr="00096B24">
        <w:rPr>
          <w:rFonts w:ascii="Times New Roman" w:hAnsi="Times New Roman" w:cs="Times New Roman"/>
          <w:i/>
          <w:iCs/>
          <w:sz w:val="24"/>
          <w:szCs w:val="24"/>
          <w:lang w:eastAsia="et-EE"/>
        </w:rPr>
        <w:t xml:space="preserve"> </w:t>
      </w:r>
      <w:proofErr w:type="spellStart"/>
      <w:r w:rsidRPr="00096B24">
        <w:rPr>
          <w:rFonts w:ascii="Times New Roman" w:hAnsi="Times New Roman" w:cs="Times New Roman"/>
          <w:i/>
          <w:iCs/>
          <w:sz w:val="24"/>
          <w:szCs w:val="24"/>
          <w:lang w:eastAsia="et-EE"/>
        </w:rPr>
        <w:t>Committee</w:t>
      </w:r>
      <w:proofErr w:type="spellEnd"/>
      <w:r w:rsidRPr="00096B24">
        <w:rPr>
          <w:rFonts w:ascii="Times New Roman" w:hAnsi="Times New Roman" w:cs="Times New Roman"/>
          <w:i/>
          <w:iCs/>
          <w:sz w:val="24"/>
          <w:szCs w:val="24"/>
          <w:lang w:eastAsia="et-EE"/>
        </w:rPr>
        <w:t xml:space="preserve">, </w:t>
      </w:r>
      <w:proofErr w:type="spellStart"/>
      <w:r w:rsidRPr="00096B24">
        <w:rPr>
          <w:rFonts w:ascii="Times New Roman" w:hAnsi="Times New Roman" w:cs="Times New Roman"/>
          <w:i/>
          <w:iCs/>
          <w:sz w:val="24"/>
          <w:szCs w:val="24"/>
          <w:lang w:eastAsia="et-EE"/>
        </w:rPr>
        <w:t>Classification</w:t>
      </w:r>
      <w:proofErr w:type="spellEnd"/>
      <w:r w:rsidRPr="00096B24">
        <w:rPr>
          <w:rFonts w:ascii="Times New Roman" w:hAnsi="Times New Roman" w:cs="Times New Roman"/>
          <w:i/>
          <w:iCs/>
          <w:sz w:val="24"/>
          <w:szCs w:val="24"/>
          <w:lang w:eastAsia="et-EE"/>
        </w:rPr>
        <w:t xml:space="preserve"> of </w:t>
      </w:r>
      <w:proofErr w:type="spellStart"/>
      <w:r w:rsidRPr="00096B24">
        <w:rPr>
          <w:rFonts w:ascii="Times New Roman" w:hAnsi="Times New Roman" w:cs="Times New Roman"/>
          <w:i/>
          <w:iCs/>
          <w:sz w:val="24"/>
          <w:szCs w:val="24"/>
          <w:lang w:eastAsia="et-EE"/>
        </w:rPr>
        <w:t>Surgical</w:t>
      </w:r>
      <w:proofErr w:type="spellEnd"/>
      <w:r w:rsidRPr="00096B24">
        <w:rPr>
          <w:rFonts w:ascii="Times New Roman" w:hAnsi="Times New Roman" w:cs="Times New Roman"/>
          <w:i/>
          <w:iCs/>
          <w:sz w:val="24"/>
          <w:szCs w:val="24"/>
          <w:lang w:eastAsia="et-EE"/>
        </w:rPr>
        <w:t xml:space="preserve"> </w:t>
      </w:r>
      <w:proofErr w:type="spellStart"/>
      <w:r w:rsidRPr="00096B24">
        <w:rPr>
          <w:rFonts w:ascii="Times New Roman" w:hAnsi="Times New Roman" w:cs="Times New Roman"/>
          <w:i/>
          <w:iCs/>
          <w:sz w:val="24"/>
          <w:szCs w:val="24"/>
          <w:lang w:eastAsia="et-EE"/>
        </w:rPr>
        <w:t>Procedures</w:t>
      </w:r>
      <w:proofErr w:type="spellEnd"/>
      <w:r w:rsidRPr="00096B24">
        <w:rPr>
          <w:rFonts w:ascii="Times New Roman" w:hAnsi="Times New Roman" w:cs="Times New Roman"/>
          <w:sz w:val="24"/>
          <w:szCs w:val="24"/>
          <w:lang w:eastAsia="et-EE"/>
        </w:rPr>
        <w:t xml:space="preserve"> </w:t>
      </w:r>
      <w:bookmarkStart w:id="5" w:name="_Hlk39823890"/>
      <w:r w:rsidRPr="00096B24">
        <w:rPr>
          <w:rFonts w:ascii="Times New Roman" w:hAnsi="Times New Roman" w:cs="Times New Roman"/>
          <w:sz w:val="24"/>
          <w:szCs w:val="24"/>
          <w:lang w:eastAsia="et-EE"/>
        </w:rPr>
        <w:t>(NOMESCO NCSP).</w:t>
      </w:r>
    </w:p>
    <w:bookmarkEnd w:id="5"/>
    <w:p w14:paraId="1053B609" w14:textId="4AC3FC83" w:rsidR="00CF52DF" w:rsidRPr="00096B24" w:rsidRDefault="00A35E7C" w:rsidP="00096B24">
      <w:pPr>
        <w:spacing w:after="0" w:line="240" w:lineRule="auto"/>
        <w:jc w:val="both"/>
        <w:rPr>
          <w:rFonts w:ascii="Times New Roman" w:hAnsi="Times New Roman" w:cs="Times New Roman"/>
          <w:sz w:val="24"/>
          <w:szCs w:val="24"/>
          <w:lang w:eastAsia="et-EE"/>
        </w:rPr>
      </w:pPr>
      <w:r w:rsidRPr="00096B24">
        <w:rPr>
          <w:rFonts w:ascii="Times New Roman" w:hAnsi="Times New Roman" w:cs="Times New Roman"/>
          <w:sz w:val="24"/>
          <w:szCs w:val="24"/>
          <w:lang w:eastAsia="et-EE"/>
        </w:rPr>
        <w:t>Samuti lähtuti</w:t>
      </w:r>
      <w:r w:rsidR="00CF52DF" w:rsidRPr="00096B24">
        <w:rPr>
          <w:rFonts w:ascii="Times New Roman" w:hAnsi="Times New Roman" w:cs="Times New Roman"/>
          <w:sz w:val="24"/>
          <w:szCs w:val="24"/>
          <w:lang w:eastAsia="et-EE"/>
        </w:rPr>
        <w:t xml:space="preserve"> sotsiaalministri määrusest „Kindlustatud isikult tasu maksmise kohustuse Eesti Haigekassa poolt ülevõtmise kord ja tervishoiuteenuse osutajatele makstava tasu arvutamise metoodika“</w:t>
      </w:r>
      <w:r w:rsidR="00CF52DF" w:rsidRPr="00096B24">
        <w:rPr>
          <w:rFonts w:ascii="Times New Roman" w:hAnsi="Times New Roman" w:cs="Times New Roman"/>
          <w:sz w:val="24"/>
          <w:szCs w:val="24"/>
        </w:rPr>
        <w:t xml:space="preserve"> </w:t>
      </w:r>
      <w:r w:rsidR="00CF52DF" w:rsidRPr="00096B24">
        <w:rPr>
          <w:rFonts w:ascii="Times New Roman" w:hAnsi="Times New Roman" w:cs="Times New Roman"/>
          <w:sz w:val="24"/>
          <w:szCs w:val="24"/>
          <w:lang w:eastAsia="et-EE"/>
        </w:rPr>
        <w:t>§ 3 lõige 1: teenuse eest tasumiseks esitab tervishoiuteenuse osutaja haigekassale nõuetekohaselt vormistatud raviarve, mille andmed ja raviarve täitmise nõuded on sätestatud  metoodika määruse  8. peatükis</w:t>
      </w:r>
      <w:r w:rsidRPr="00096B24">
        <w:rPr>
          <w:rFonts w:ascii="Times New Roman" w:hAnsi="Times New Roman" w:cs="Times New Roman"/>
          <w:sz w:val="24"/>
          <w:szCs w:val="24"/>
          <w:lang w:eastAsia="et-EE"/>
        </w:rPr>
        <w:t>:</w:t>
      </w:r>
    </w:p>
    <w:p w14:paraId="767B2127" w14:textId="77777777" w:rsidR="00CF52DF" w:rsidRPr="00096B24" w:rsidRDefault="00CF52DF" w:rsidP="00096B24">
      <w:pPr>
        <w:pStyle w:val="ListParagraph"/>
        <w:numPr>
          <w:ilvl w:val="0"/>
          <w:numId w:val="15"/>
        </w:numPr>
        <w:autoSpaceDN w:val="0"/>
        <w:spacing w:after="160"/>
        <w:jc w:val="both"/>
        <w:rPr>
          <w:lang w:eastAsia="et-EE"/>
        </w:rPr>
      </w:pPr>
      <w:r w:rsidRPr="00096B24">
        <w:rPr>
          <w:lang w:eastAsia="et-EE"/>
        </w:rPr>
        <w:t>§ 56 lõige 1 punkt 1: põhidiagnoos ja kaasuvdiagnoosi kood kantakse raviarvele RHK 10 järgi.</w:t>
      </w:r>
    </w:p>
    <w:p w14:paraId="6CB3C39C" w14:textId="77777777" w:rsidR="00CF52DF" w:rsidRPr="00096B24" w:rsidRDefault="00CF52DF" w:rsidP="00096B24">
      <w:pPr>
        <w:pStyle w:val="ListParagraph"/>
        <w:numPr>
          <w:ilvl w:val="0"/>
          <w:numId w:val="15"/>
        </w:numPr>
        <w:autoSpaceDN w:val="0"/>
        <w:spacing w:after="160"/>
        <w:jc w:val="both"/>
        <w:rPr>
          <w:lang w:eastAsia="et-EE"/>
        </w:rPr>
      </w:pPr>
      <w:r w:rsidRPr="00096B24">
        <w:rPr>
          <w:lang w:eastAsia="et-EE"/>
        </w:rPr>
        <w:t>§ 61: raviarvele kantakse kirurgilise protseduuri kood (edaspidi NCSP) vastavalt tervishoiuteenuste korraldamise seaduse § 2 lõike 1 alusel kehtestatud sotsiaalministri määrusele järgmiselt:   1) NCSP kood;   2) NCSP teenuse osutamise kuupäev.</w:t>
      </w:r>
    </w:p>
    <w:p w14:paraId="47642DFC" w14:textId="77777777" w:rsidR="00CF52DF" w:rsidRPr="00096B24" w:rsidRDefault="00CF52DF" w:rsidP="00096B24">
      <w:pPr>
        <w:spacing w:after="0" w:line="240" w:lineRule="auto"/>
        <w:jc w:val="both"/>
        <w:rPr>
          <w:rFonts w:ascii="Times New Roman" w:hAnsi="Times New Roman" w:cs="Times New Roman"/>
          <w:sz w:val="24"/>
          <w:szCs w:val="24"/>
          <w:lang w:eastAsia="et-EE"/>
        </w:rPr>
      </w:pPr>
      <w:r w:rsidRPr="00096B24">
        <w:rPr>
          <w:rFonts w:ascii="Times New Roman" w:hAnsi="Times New Roman" w:cs="Times New Roman"/>
          <w:sz w:val="24"/>
          <w:szCs w:val="24"/>
          <w:lang w:eastAsia="et-EE"/>
        </w:rPr>
        <w:t xml:space="preserve">Haigekassasse tasumiseks esitatud raviarved grupeeritakse DRG </w:t>
      </w:r>
      <w:proofErr w:type="spellStart"/>
      <w:r w:rsidRPr="00096B24">
        <w:rPr>
          <w:rFonts w:ascii="Times New Roman" w:hAnsi="Times New Roman" w:cs="Times New Roman"/>
          <w:sz w:val="24"/>
          <w:szCs w:val="24"/>
          <w:lang w:eastAsia="et-EE"/>
        </w:rPr>
        <w:t>grupeerijaga</w:t>
      </w:r>
      <w:proofErr w:type="spellEnd"/>
      <w:r w:rsidRPr="00096B24">
        <w:rPr>
          <w:rFonts w:ascii="Times New Roman" w:hAnsi="Times New Roman" w:cs="Times New Roman"/>
          <w:sz w:val="24"/>
          <w:szCs w:val="24"/>
          <w:lang w:eastAsia="et-EE"/>
        </w:rPr>
        <w:t xml:space="preserve"> (haigekassa poolt), millega kantakse raviarvele vastavalt metoodika määruse §59 DRG andmed: DRG kood; DRG piirhind; tervishoiuteenuse loetelu § 45  olev DRG piirhinna koefitsient.</w:t>
      </w:r>
    </w:p>
    <w:p w14:paraId="6944EF31" w14:textId="0A73F8FB" w:rsidR="00CF52DF" w:rsidRPr="00096B24" w:rsidRDefault="00CF52DF" w:rsidP="00096B24">
      <w:pPr>
        <w:spacing w:after="0" w:line="240" w:lineRule="auto"/>
        <w:jc w:val="both"/>
        <w:rPr>
          <w:rFonts w:ascii="Times New Roman" w:hAnsi="Times New Roman" w:cs="Times New Roman"/>
          <w:sz w:val="24"/>
          <w:szCs w:val="24"/>
          <w:lang w:eastAsia="et-EE"/>
        </w:rPr>
      </w:pPr>
      <w:r w:rsidRPr="00096B24">
        <w:rPr>
          <w:rFonts w:ascii="Times New Roman" w:hAnsi="Times New Roman" w:cs="Times New Roman"/>
          <w:sz w:val="24"/>
          <w:szCs w:val="24"/>
          <w:lang w:eastAsia="et-EE"/>
        </w:rPr>
        <w:t>Lähtu</w:t>
      </w:r>
      <w:r w:rsidR="00A35E7C" w:rsidRPr="00096B24">
        <w:rPr>
          <w:rFonts w:ascii="Times New Roman" w:hAnsi="Times New Roman" w:cs="Times New Roman"/>
          <w:sz w:val="24"/>
          <w:szCs w:val="24"/>
          <w:lang w:eastAsia="et-EE"/>
        </w:rPr>
        <w:t>ti ka</w:t>
      </w:r>
      <w:r w:rsidRPr="00096B24">
        <w:rPr>
          <w:rFonts w:ascii="Times New Roman" w:hAnsi="Times New Roman" w:cs="Times New Roman"/>
          <w:sz w:val="24"/>
          <w:szCs w:val="24"/>
          <w:lang w:eastAsia="et-EE"/>
        </w:rPr>
        <w:t xml:space="preserve"> sotsiaalministri määrusest </w:t>
      </w:r>
      <w:r w:rsidRPr="00096B24">
        <w:rPr>
          <w:rFonts w:ascii="Times New Roman" w:hAnsi="Times New Roman" w:cs="Times New Roman"/>
          <w:sz w:val="24"/>
          <w:szCs w:val="24"/>
        </w:rPr>
        <w:t>„Tervishoiuteenuse osutamise dokumenteerimise ning nende dokumentide säilitamise tingimused ja kord“.</w:t>
      </w:r>
    </w:p>
    <w:p w14:paraId="1499120E" w14:textId="77777777" w:rsidR="00CF52DF" w:rsidRPr="00096B24" w:rsidRDefault="00CF52DF" w:rsidP="00096B24">
      <w:pPr>
        <w:pStyle w:val="NoSpacing"/>
        <w:jc w:val="both"/>
        <w:rPr>
          <w:rFonts w:ascii="Times New Roman" w:hAnsi="Times New Roman" w:cs="Times New Roman"/>
          <w:color w:val="FF0000"/>
          <w:sz w:val="24"/>
          <w:szCs w:val="24"/>
        </w:rPr>
      </w:pPr>
    </w:p>
    <w:p w14:paraId="4F56621A" w14:textId="77777777" w:rsidR="00CF52DF" w:rsidRPr="00096B24" w:rsidRDefault="00CF52DF" w:rsidP="00096B24">
      <w:pPr>
        <w:pStyle w:val="NoSpacing"/>
        <w:suppressAutoHyphens/>
        <w:autoSpaceDN w:val="0"/>
        <w:jc w:val="both"/>
        <w:rPr>
          <w:rFonts w:ascii="Times New Roman" w:hAnsi="Times New Roman" w:cs="Times New Roman"/>
          <w:b/>
          <w:sz w:val="24"/>
          <w:szCs w:val="24"/>
        </w:rPr>
      </w:pPr>
      <w:r w:rsidRPr="00096B24">
        <w:rPr>
          <w:rFonts w:ascii="Times New Roman" w:hAnsi="Times New Roman" w:cs="Times New Roman"/>
          <w:b/>
          <w:sz w:val="24"/>
          <w:szCs w:val="24"/>
        </w:rPr>
        <w:t>Andmevajadus hindamise teostamiseks</w:t>
      </w:r>
    </w:p>
    <w:p w14:paraId="3FFE5012" w14:textId="4093F1BA" w:rsidR="00CF52DF" w:rsidRPr="00096B24" w:rsidRDefault="00CF52DF" w:rsidP="00096B24">
      <w:pPr>
        <w:pStyle w:val="NoSpacing"/>
        <w:jc w:val="both"/>
        <w:rPr>
          <w:rFonts w:ascii="Times New Roman" w:hAnsi="Times New Roman" w:cs="Times New Roman"/>
          <w:sz w:val="24"/>
          <w:szCs w:val="24"/>
        </w:rPr>
      </w:pPr>
      <w:bookmarkStart w:id="6" w:name="_Hlk40182055"/>
      <w:r w:rsidRPr="00096B24">
        <w:rPr>
          <w:rFonts w:ascii="Times New Roman" w:hAnsi="Times New Roman" w:cs="Times New Roman"/>
          <w:sz w:val="24"/>
          <w:szCs w:val="24"/>
        </w:rPr>
        <w:t>Valimi alusdokumen</w:t>
      </w:r>
      <w:r w:rsidR="00A35E7C" w:rsidRPr="00096B24">
        <w:rPr>
          <w:rFonts w:ascii="Times New Roman" w:hAnsi="Times New Roman" w:cs="Times New Roman"/>
          <w:sz w:val="24"/>
          <w:szCs w:val="24"/>
        </w:rPr>
        <w:t>diks</w:t>
      </w:r>
      <w:r w:rsidRPr="00096B24">
        <w:rPr>
          <w:rFonts w:ascii="Times New Roman" w:hAnsi="Times New Roman" w:cs="Times New Roman"/>
          <w:sz w:val="24"/>
          <w:szCs w:val="24"/>
        </w:rPr>
        <w:t xml:space="preserve"> o</w:t>
      </w:r>
      <w:r w:rsidR="00A35E7C" w:rsidRPr="00096B24">
        <w:rPr>
          <w:rFonts w:ascii="Times New Roman" w:hAnsi="Times New Roman" w:cs="Times New Roman"/>
          <w:sz w:val="24"/>
          <w:szCs w:val="24"/>
        </w:rPr>
        <w:t>li</w:t>
      </w:r>
      <w:r w:rsidRPr="00096B24">
        <w:rPr>
          <w:rFonts w:ascii="Times New Roman" w:hAnsi="Times New Roman" w:cs="Times New Roman"/>
          <w:sz w:val="24"/>
          <w:szCs w:val="24"/>
        </w:rPr>
        <w:t xml:space="preserve"> haigekassa andmebaasis olev raviarve, </w:t>
      </w:r>
      <w:bookmarkStart w:id="7" w:name="_Hlk40108118"/>
      <w:bookmarkStart w:id="8" w:name="_Hlk40107785"/>
      <w:r w:rsidRPr="00096B24">
        <w:rPr>
          <w:rFonts w:ascii="Times New Roman" w:hAnsi="Times New Roman" w:cs="Times New Roman"/>
          <w:sz w:val="24"/>
          <w:szCs w:val="24"/>
        </w:rPr>
        <w:t xml:space="preserve">andmeväljad: isikukood, raviasutus, BW: </w:t>
      </w:r>
      <w:proofErr w:type="spellStart"/>
      <w:r w:rsidRPr="00096B24">
        <w:rPr>
          <w:rFonts w:ascii="Times New Roman" w:hAnsi="Times New Roman" w:cs="Times New Roman"/>
          <w:sz w:val="24"/>
          <w:szCs w:val="24"/>
        </w:rPr>
        <w:t>Doc</w:t>
      </w:r>
      <w:proofErr w:type="spellEnd"/>
      <w:r w:rsidRPr="00096B24">
        <w:rPr>
          <w:rFonts w:ascii="Times New Roman" w:hAnsi="Times New Roman" w:cs="Times New Roman"/>
          <w:sz w:val="24"/>
          <w:szCs w:val="24"/>
        </w:rPr>
        <w:t xml:space="preserve">, RA seeria, RTA algus, RTA lõpp, arst-väljastanud nimi, </w:t>
      </w:r>
      <w:proofErr w:type="spellStart"/>
      <w:r w:rsidRPr="00096B24">
        <w:rPr>
          <w:rFonts w:ascii="Times New Roman" w:hAnsi="Times New Roman" w:cs="Times New Roman"/>
          <w:sz w:val="24"/>
          <w:szCs w:val="24"/>
        </w:rPr>
        <w:t>arst_väljastanud</w:t>
      </w:r>
      <w:proofErr w:type="spellEnd"/>
      <w:r w:rsidRPr="00096B24">
        <w:rPr>
          <w:rFonts w:ascii="Times New Roman" w:hAnsi="Times New Roman" w:cs="Times New Roman"/>
          <w:sz w:val="24"/>
          <w:szCs w:val="24"/>
        </w:rPr>
        <w:t xml:space="preserve"> kood, </w:t>
      </w:r>
      <w:proofErr w:type="spellStart"/>
      <w:r w:rsidRPr="00096B24">
        <w:rPr>
          <w:rFonts w:ascii="Times New Roman" w:hAnsi="Times New Roman" w:cs="Times New Roman"/>
          <w:sz w:val="24"/>
          <w:szCs w:val="24"/>
        </w:rPr>
        <w:t>suun</w:t>
      </w:r>
      <w:proofErr w:type="spellEnd"/>
      <w:r w:rsidRPr="00096B24">
        <w:rPr>
          <w:rFonts w:ascii="Times New Roman" w:hAnsi="Times New Roman" w:cs="Times New Roman"/>
          <w:sz w:val="24"/>
          <w:szCs w:val="24"/>
        </w:rPr>
        <w:t xml:space="preserve">. edasi, teen. </w:t>
      </w:r>
      <w:bookmarkEnd w:id="7"/>
      <w:proofErr w:type="spellStart"/>
      <w:r w:rsidRPr="00096B24">
        <w:rPr>
          <w:rFonts w:ascii="Times New Roman" w:hAnsi="Times New Roman" w:cs="Times New Roman"/>
          <w:sz w:val="24"/>
          <w:szCs w:val="24"/>
        </w:rPr>
        <w:t>osut</w:t>
      </w:r>
      <w:proofErr w:type="spellEnd"/>
      <w:r w:rsidRPr="00096B24">
        <w:rPr>
          <w:rFonts w:ascii="Times New Roman" w:hAnsi="Times New Roman" w:cs="Times New Roman"/>
          <w:sz w:val="24"/>
          <w:szCs w:val="24"/>
        </w:rPr>
        <w:t xml:space="preserve">. </w:t>
      </w:r>
      <w:proofErr w:type="spellStart"/>
      <w:r w:rsidRPr="00096B24">
        <w:rPr>
          <w:rFonts w:ascii="Times New Roman" w:hAnsi="Times New Roman" w:cs="Times New Roman"/>
          <w:sz w:val="24"/>
          <w:szCs w:val="24"/>
        </w:rPr>
        <w:t>kp</w:t>
      </w:r>
      <w:proofErr w:type="spellEnd"/>
      <w:r w:rsidRPr="00096B24">
        <w:rPr>
          <w:rFonts w:ascii="Times New Roman" w:hAnsi="Times New Roman" w:cs="Times New Roman"/>
          <w:sz w:val="24"/>
          <w:szCs w:val="24"/>
        </w:rPr>
        <w:t xml:space="preserve">, Teenus, RJ, </w:t>
      </w:r>
      <w:proofErr w:type="spellStart"/>
      <w:r w:rsidRPr="00096B24">
        <w:rPr>
          <w:rFonts w:ascii="Times New Roman" w:hAnsi="Times New Roman" w:cs="Times New Roman"/>
          <w:sz w:val="24"/>
          <w:szCs w:val="24"/>
        </w:rPr>
        <w:t>kordi_PC</w:t>
      </w:r>
      <w:proofErr w:type="spellEnd"/>
      <w:r w:rsidRPr="00096B24">
        <w:rPr>
          <w:rFonts w:ascii="Times New Roman" w:hAnsi="Times New Roman" w:cs="Times New Roman"/>
          <w:sz w:val="24"/>
          <w:szCs w:val="24"/>
        </w:rPr>
        <w:t xml:space="preserve">, summa tasumisel. </w:t>
      </w:r>
    </w:p>
    <w:bookmarkEnd w:id="6"/>
    <w:p w14:paraId="1A52871A" w14:textId="36DDC331" w:rsidR="00CF52DF" w:rsidRPr="00096B24" w:rsidRDefault="00CF52DF" w:rsidP="00096B24">
      <w:pPr>
        <w:pStyle w:val="NoSpacing"/>
        <w:jc w:val="both"/>
        <w:rPr>
          <w:rFonts w:ascii="Times New Roman" w:hAnsi="Times New Roman" w:cs="Times New Roman"/>
          <w:sz w:val="24"/>
          <w:szCs w:val="24"/>
        </w:rPr>
      </w:pPr>
      <w:r w:rsidRPr="00096B24">
        <w:rPr>
          <w:rFonts w:ascii="Times New Roman" w:hAnsi="Times New Roman" w:cs="Times New Roman"/>
          <w:sz w:val="24"/>
          <w:szCs w:val="24"/>
        </w:rPr>
        <w:t>Olulisteks andmeteks o</w:t>
      </w:r>
      <w:r w:rsidR="00A35E7C" w:rsidRPr="00096B24">
        <w:rPr>
          <w:rFonts w:ascii="Times New Roman" w:hAnsi="Times New Roman" w:cs="Times New Roman"/>
          <w:sz w:val="24"/>
          <w:szCs w:val="24"/>
        </w:rPr>
        <w:t>lid</w:t>
      </w:r>
      <w:r w:rsidRPr="00096B24">
        <w:rPr>
          <w:rFonts w:ascii="Times New Roman" w:hAnsi="Times New Roman" w:cs="Times New Roman"/>
          <w:sz w:val="24"/>
          <w:szCs w:val="24"/>
        </w:rPr>
        <w:t xml:space="preserve">: </w:t>
      </w:r>
      <w:r w:rsidRPr="00096B24">
        <w:rPr>
          <w:rFonts w:ascii="Times New Roman" w:hAnsi="Times New Roman" w:cs="Times New Roman"/>
          <w:b/>
          <w:bCs/>
          <w:sz w:val="24"/>
          <w:szCs w:val="24"/>
        </w:rPr>
        <w:t>põhidiagnoos, kaasuvad diagnoosid, operatsiooni koodid ja NCSP-</w:t>
      </w:r>
      <w:proofErr w:type="spellStart"/>
      <w:r w:rsidRPr="00096B24">
        <w:rPr>
          <w:rFonts w:ascii="Times New Roman" w:hAnsi="Times New Roman" w:cs="Times New Roman"/>
          <w:b/>
          <w:bCs/>
          <w:sz w:val="24"/>
          <w:szCs w:val="24"/>
        </w:rPr>
        <w:t>d.</w:t>
      </w:r>
      <w:bookmarkEnd w:id="8"/>
      <w:proofErr w:type="spellEnd"/>
      <w:r w:rsidRPr="00096B24">
        <w:rPr>
          <w:rFonts w:ascii="Times New Roman" w:hAnsi="Times New Roman" w:cs="Times New Roman"/>
          <w:b/>
          <w:bCs/>
          <w:sz w:val="24"/>
          <w:szCs w:val="24"/>
        </w:rPr>
        <w:t xml:space="preserve"> </w:t>
      </w:r>
    </w:p>
    <w:p w14:paraId="6B15ABA3" w14:textId="3B206996" w:rsidR="00CF52DF" w:rsidRPr="00096B24" w:rsidRDefault="00CF52DF" w:rsidP="00096B24">
      <w:pPr>
        <w:pStyle w:val="NoSpacing"/>
        <w:jc w:val="both"/>
        <w:rPr>
          <w:rFonts w:ascii="Times New Roman" w:hAnsi="Times New Roman" w:cs="Times New Roman"/>
          <w:sz w:val="24"/>
          <w:szCs w:val="24"/>
        </w:rPr>
      </w:pPr>
      <w:r w:rsidRPr="00096B24">
        <w:rPr>
          <w:rFonts w:ascii="Times New Roman" w:hAnsi="Times New Roman" w:cs="Times New Roman"/>
          <w:sz w:val="24"/>
          <w:szCs w:val="24"/>
        </w:rPr>
        <w:t>Kõik raviarvega seoses olevad ravidokumendid tellit</w:t>
      </w:r>
      <w:r w:rsidR="00A35E7C" w:rsidRPr="00096B24">
        <w:rPr>
          <w:rFonts w:ascii="Times New Roman" w:hAnsi="Times New Roman" w:cs="Times New Roman"/>
          <w:sz w:val="24"/>
          <w:szCs w:val="24"/>
        </w:rPr>
        <w:t>i</w:t>
      </w:r>
      <w:r w:rsidRPr="00096B24">
        <w:rPr>
          <w:rFonts w:ascii="Times New Roman" w:hAnsi="Times New Roman" w:cs="Times New Roman"/>
          <w:sz w:val="24"/>
          <w:szCs w:val="24"/>
        </w:rPr>
        <w:t xml:space="preserve"> valimis olevatelt raviasutustelt. Ravidokumentide sisu eest vastuta</w:t>
      </w:r>
      <w:r w:rsidR="00A35E7C" w:rsidRPr="00096B24">
        <w:rPr>
          <w:rFonts w:ascii="Times New Roman" w:hAnsi="Times New Roman" w:cs="Times New Roman"/>
          <w:sz w:val="24"/>
          <w:szCs w:val="24"/>
        </w:rPr>
        <w:t>s</w:t>
      </w:r>
      <w:r w:rsidRPr="00096B24">
        <w:rPr>
          <w:rFonts w:ascii="Times New Roman" w:hAnsi="Times New Roman" w:cs="Times New Roman"/>
          <w:sz w:val="24"/>
          <w:szCs w:val="24"/>
        </w:rPr>
        <w:t xml:space="preserve"> raviasutus ja dokumentide tellimise, hindamise eest sihtvaliku teostaja.</w:t>
      </w:r>
    </w:p>
    <w:p w14:paraId="35B1670E" w14:textId="77777777" w:rsidR="00557B73" w:rsidRPr="00096B24" w:rsidRDefault="00557B73" w:rsidP="00096B24">
      <w:pPr>
        <w:pStyle w:val="Heading1"/>
        <w:numPr>
          <w:ilvl w:val="0"/>
          <w:numId w:val="6"/>
        </w:numPr>
        <w:spacing w:line="240" w:lineRule="auto"/>
        <w:jc w:val="both"/>
        <w:rPr>
          <w:rFonts w:cs="Times New Roman"/>
          <w:szCs w:val="24"/>
        </w:rPr>
      </w:pPr>
      <w:bookmarkStart w:id="9" w:name="_Toc45190788"/>
      <w:bookmarkStart w:id="10" w:name="_Toc64621593"/>
      <w:r w:rsidRPr="00096B24">
        <w:rPr>
          <w:rFonts w:cs="Times New Roman"/>
          <w:szCs w:val="24"/>
        </w:rPr>
        <w:t>TULEMUSED</w:t>
      </w:r>
      <w:bookmarkEnd w:id="9"/>
      <w:bookmarkEnd w:id="10"/>
    </w:p>
    <w:p w14:paraId="5CA6A67F" w14:textId="16011E21" w:rsidR="00B12B24" w:rsidRPr="00096B24" w:rsidRDefault="00CE4C3A" w:rsidP="00096B24">
      <w:pPr>
        <w:spacing w:line="240" w:lineRule="auto"/>
        <w:jc w:val="both"/>
        <w:rPr>
          <w:rFonts w:ascii="Times New Roman" w:hAnsi="Times New Roman" w:cs="Times New Roman"/>
          <w:color w:val="70AD47" w:themeColor="accent6"/>
          <w:sz w:val="24"/>
          <w:szCs w:val="24"/>
        </w:rPr>
      </w:pPr>
      <w:r w:rsidRPr="00096B24">
        <w:rPr>
          <w:rFonts w:ascii="Times New Roman" w:hAnsi="Times New Roman" w:cs="Times New Roman"/>
          <w:sz w:val="24"/>
          <w:szCs w:val="24"/>
        </w:rPr>
        <w:t xml:space="preserve">Kokku hinnati </w:t>
      </w:r>
      <w:r w:rsidR="00825683" w:rsidRPr="00096B24">
        <w:rPr>
          <w:rFonts w:ascii="Times New Roman" w:hAnsi="Times New Roman" w:cs="Times New Roman"/>
          <w:sz w:val="24"/>
          <w:szCs w:val="24"/>
        </w:rPr>
        <w:t>140</w:t>
      </w:r>
      <w:r w:rsidRPr="00096B24">
        <w:rPr>
          <w:rFonts w:ascii="Times New Roman" w:hAnsi="Times New Roman" w:cs="Times New Roman"/>
          <w:sz w:val="24"/>
          <w:szCs w:val="24"/>
        </w:rPr>
        <w:t xml:space="preserve"> puusaliigese </w:t>
      </w:r>
      <w:proofErr w:type="spellStart"/>
      <w:r w:rsidRPr="00096B24">
        <w:rPr>
          <w:rFonts w:ascii="Times New Roman" w:hAnsi="Times New Roman" w:cs="Times New Roman"/>
          <w:sz w:val="24"/>
          <w:szCs w:val="24"/>
        </w:rPr>
        <w:t>endoproteesimise</w:t>
      </w:r>
      <w:proofErr w:type="spellEnd"/>
      <w:r w:rsidRPr="00096B24">
        <w:rPr>
          <w:rFonts w:ascii="Times New Roman" w:hAnsi="Times New Roman" w:cs="Times New Roman"/>
          <w:sz w:val="24"/>
          <w:szCs w:val="24"/>
        </w:rPr>
        <w:t xml:space="preserve"> juhtu, millest </w:t>
      </w:r>
      <w:r w:rsidR="00E74713" w:rsidRPr="00096B24">
        <w:rPr>
          <w:rFonts w:ascii="Times New Roman" w:hAnsi="Times New Roman" w:cs="Times New Roman"/>
          <w:sz w:val="24"/>
          <w:szCs w:val="24"/>
        </w:rPr>
        <w:t>113</w:t>
      </w:r>
      <w:r w:rsidRPr="00096B24">
        <w:rPr>
          <w:rFonts w:ascii="Times New Roman" w:hAnsi="Times New Roman" w:cs="Times New Roman"/>
          <w:sz w:val="24"/>
          <w:szCs w:val="24"/>
        </w:rPr>
        <w:t xml:space="preserve"> (</w:t>
      </w:r>
      <w:r w:rsidR="00E74713" w:rsidRPr="00096B24">
        <w:rPr>
          <w:rFonts w:ascii="Times New Roman" w:hAnsi="Times New Roman" w:cs="Times New Roman"/>
          <w:sz w:val="24"/>
          <w:szCs w:val="24"/>
        </w:rPr>
        <w:t>81</w:t>
      </w:r>
      <w:r w:rsidRPr="00096B24">
        <w:rPr>
          <w:rFonts w:ascii="Times New Roman" w:hAnsi="Times New Roman" w:cs="Times New Roman"/>
          <w:sz w:val="24"/>
          <w:szCs w:val="24"/>
        </w:rPr>
        <w:t xml:space="preserve">%) teostati plaaniliselt ja </w:t>
      </w:r>
      <w:r w:rsidR="00E74713" w:rsidRPr="00096B24">
        <w:rPr>
          <w:rFonts w:ascii="Times New Roman" w:hAnsi="Times New Roman" w:cs="Times New Roman"/>
          <w:sz w:val="24"/>
          <w:szCs w:val="24"/>
        </w:rPr>
        <w:t>27</w:t>
      </w:r>
      <w:r w:rsidRPr="00096B24">
        <w:rPr>
          <w:rFonts w:ascii="Times New Roman" w:hAnsi="Times New Roman" w:cs="Times New Roman"/>
          <w:sz w:val="24"/>
          <w:szCs w:val="24"/>
        </w:rPr>
        <w:t xml:space="preserve"> (</w:t>
      </w:r>
      <w:r w:rsidR="00E74713" w:rsidRPr="00096B24">
        <w:rPr>
          <w:rFonts w:ascii="Times New Roman" w:hAnsi="Times New Roman" w:cs="Times New Roman"/>
          <w:sz w:val="24"/>
          <w:szCs w:val="24"/>
        </w:rPr>
        <w:t>19</w:t>
      </w:r>
      <w:r w:rsidRPr="00096B24">
        <w:rPr>
          <w:rFonts w:ascii="Times New Roman" w:hAnsi="Times New Roman" w:cs="Times New Roman"/>
          <w:sz w:val="24"/>
          <w:szCs w:val="24"/>
        </w:rPr>
        <w:t xml:space="preserve">%) trauma tagajärjel erakorraliselt.  Valimist </w:t>
      </w:r>
      <w:r w:rsidR="00E74713" w:rsidRPr="00096B24">
        <w:rPr>
          <w:rFonts w:ascii="Times New Roman" w:hAnsi="Times New Roman" w:cs="Times New Roman"/>
          <w:sz w:val="24"/>
          <w:szCs w:val="24"/>
        </w:rPr>
        <w:t>54</w:t>
      </w:r>
      <w:r w:rsidRPr="00096B24">
        <w:rPr>
          <w:rFonts w:ascii="Times New Roman" w:hAnsi="Times New Roman" w:cs="Times New Roman"/>
          <w:sz w:val="24"/>
          <w:szCs w:val="24"/>
        </w:rPr>
        <w:t xml:space="preserve"> (</w:t>
      </w:r>
      <w:r w:rsidR="00E74713" w:rsidRPr="00096B24">
        <w:rPr>
          <w:rFonts w:ascii="Times New Roman" w:hAnsi="Times New Roman" w:cs="Times New Roman"/>
          <w:sz w:val="24"/>
          <w:szCs w:val="24"/>
        </w:rPr>
        <w:t>39</w:t>
      </w:r>
      <w:r w:rsidRPr="00096B24">
        <w:rPr>
          <w:rFonts w:ascii="Times New Roman" w:hAnsi="Times New Roman" w:cs="Times New Roman"/>
          <w:sz w:val="24"/>
          <w:szCs w:val="24"/>
        </w:rPr>
        <w:t xml:space="preserve">%) olid mehed ja </w:t>
      </w:r>
      <w:r w:rsidR="00E74713" w:rsidRPr="00096B24">
        <w:rPr>
          <w:rFonts w:ascii="Times New Roman" w:hAnsi="Times New Roman" w:cs="Times New Roman"/>
          <w:sz w:val="24"/>
          <w:szCs w:val="24"/>
        </w:rPr>
        <w:t>86</w:t>
      </w:r>
      <w:r w:rsidRPr="00096B24">
        <w:rPr>
          <w:rFonts w:ascii="Times New Roman" w:hAnsi="Times New Roman" w:cs="Times New Roman"/>
          <w:sz w:val="24"/>
          <w:szCs w:val="24"/>
        </w:rPr>
        <w:t xml:space="preserve"> (</w:t>
      </w:r>
      <w:r w:rsidR="00E74713" w:rsidRPr="00096B24">
        <w:rPr>
          <w:rFonts w:ascii="Times New Roman" w:hAnsi="Times New Roman" w:cs="Times New Roman"/>
          <w:sz w:val="24"/>
          <w:szCs w:val="24"/>
        </w:rPr>
        <w:t>61</w:t>
      </w:r>
      <w:r w:rsidRPr="00096B24">
        <w:rPr>
          <w:rFonts w:ascii="Times New Roman" w:hAnsi="Times New Roman" w:cs="Times New Roman"/>
          <w:sz w:val="24"/>
          <w:szCs w:val="24"/>
        </w:rPr>
        <w:t xml:space="preserve">%) naised. </w:t>
      </w:r>
      <w:r w:rsidR="00434503" w:rsidRPr="00096B24">
        <w:rPr>
          <w:rFonts w:ascii="Times New Roman" w:hAnsi="Times New Roman" w:cs="Times New Roman"/>
          <w:sz w:val="24"/>
          <w:szCs w:val="24"/>
        </w:rPr>
        <w:t xml:space="preserve">Patsientide </w:t>
      </w:r>
      <w:r w:rsidR="00B12B24" w:rsidRPr="00096B24">
        <w:rPr>
          <w:rFonts w:ascii="Times New Roman" w:hAnsi="Times New Roman" w:cs="Times New Roman"/>
          <w:sz w:val="24"/>
          <w:szCs w:val="24"/>
        </w:rPr>
        <w:t xml:space="preserve">keskmine vanus oli </w:t>
      </w:r>
      <w:r w:rsidR="00E74713" w:rsidRPr="00096B24">
        <w:rPr>
          <w:rFonts w:ascii="Times New Roman" w:hAnsi="Times New Roman" w:cs="Times New Roman"/>
          <w:sz w:val="24"/>
          <w:szCs w:val="24"/>
        </w:rPr>
        <w:t>70</w:t>
      </w:r>
      <w:r w:rsidR="00B12B24" w:rsidRPr="00096B24">
        <w:rPr>
          <w:rFonts w:ascii="Times New Roman" w:hAnsi="Times New Roman" w:cs="Times New Roman"/>
          <w:sz w:val="24"/>
          <w:szCs w:val="24"/>
        </w:rPr>
        <w:t xml:space="preserve"> a (meestel </w:t>
      </w:r>
      <w:r w:rsidR="00E74713" w:rsidRPr="00096B24">
        <w:rPr>
          <w:rFonts w:ascii="Times New Roman" w:hAnsi="Times New Roman" w:cs="Times New Roman"/>
          <w:sz w:val="24"/>
          <w:szCs w:val="24"/>
        </w:rPr>
        <w:t>67</w:t>
      </w:r>
      <w:r w:rsidR="00B12B24" w:rsidRPr="00096B24">
        <w:rPr>
          <w:rFonts w:ascii="Times New Roman" w:hAnsi="Times New Roman" w:cs="Times New Roman"/>
          <w:sz w:val="24"/>
          <w:szCs w:val="24"/>
        </w:rPr>
        <w:t xml:space="preserve"> a, naistel </w:t>
      </w:r>
      <w:r w:rsidR="00E74713" w:rsidRPr="00096B24">
        <w:rPr>
          <w:rFonts w:ascii="Times New Roman" w:hAnsi="Times New Roman" w:cs="Times New Roman"/>
          <w:sz w:val="24"/>
          <w:szCs w:val="24"/>
        </w:rPr>
        <w:t>72</w:t>
      </w:r>
      <w:r w:rsidR="00B12B24" w:rsidRPr="00096B24">
        <w:rPr>
          <w:rFonts w:ascii="Times New Roman" w:hAnsi="Times New Roman" w:cs="Times New Roman"/>
          <w:sz w:val="24"/>
          <w:szCs w:val="24"/>
        </w:rPr>
        <w:t xml:space="preserve"> a). Hinnatud haigusjuhtudes </w:t>
      </w:r>
      <w:r w:rsidR="00E74713" w:rsidRPr="00096B24">
        <w:rPr>
          <w:rFonts w:ascii="Times New Roman" w:hAnsi="Times New Roman" w:cs="Times New Roman"/>
          <w:sz w:val="24"/>
          <w:szCs w:val="24"/>
        </w:rPr>
        <w:t>1</w:t>
      </w:r>
      <w:r w:rsidR="00B12B24" w:rsidRPr="00096B24">
        <w:rPr>
          <w:rFonts w:ascii="Times New Roman" w:hAnsi="Times New Roman" w:cs="Times New Roman"/>
          <w:sz w:val="24"/>
          <w:szCs w:val="24"/>
        </w:rPr>
        <w:t xml:space="preserve"> oli surmlõppega. </w:t>
      </w:r>
    </w:p>
    <w:p w14:paraId="1AD11CB0" w14:textId="1DC4E4E8" w:rsidR="00B12B24" w:rsidRPr="00096B24" w:rsidRDefault="00B12B24" w:rsidP="00096B24">
      <w:pPr>
        <w:spacing w:line="240" w:lineRule="auto"/>
        <w:jc w:val="both"/>
        <w:rPr>
          <w:rFonts w:ascii="Times New Roman" w:hAnsi="Times New Roman" w:cs="Times New Roman"/>
          <w:sz w:val="24"/>
          <w:szCs w:val="24"/>
        </w:rPr>
      </w:pPr>
      <w:r w:rsidRPr="00096B24">
        <w:rPr>
          <w:rFonts w:ascii="Times New Roman" w:hAnsi="Times New Roman" w:cs="Times New Roman"/>
          <w:sz w:val="24"/>
          <w:szCs w:val="24"/>
        </w:rPr>
        <w:t>Hindamine toimus kahes osas</w:t>
      </w:r>
      <w:r w:rsidR="00E74713" w:rsidRPr="00096B24">
        <w:rPr>
          <w:rFonts w:ascii="Times New Roman" w:hAnsi="Times New Roman" w:cs="Times New Roman"/>
          <w:sz w:val="24"/>
          <w:szCs w:val="24"/>
        </w:rPr>
        <w:t xml:space="preserve"> – esiteks haigusjuhu kodeerimine, teiseks patsiendi teekond puusaliigese </w:t>
      </w:r>
      <w:proofErr w:type="spellStart"/>
      <w:r w:rsidR="00E74713" w:rsidRPr="00096B24">
        <w:rPr>
          <w:rFonts w:ascii="Times New Roman" w:hAnsi="Times New Roman" w:cs="Times New Roman"/>
          <w:sz w:val="24"/>
          <w:szCs w:val="24"/>
        </w:rPr>
        <w:t>endoproteesimiseni</w:t>
      </w:r>
      <w:proofErr w:type="spellEnd"/>
      <w:r w:rsidR="00E74713" w:rsidRPr="00096B24">
        <w:rPr>
          <w:rFonts w:ascii="Times New Roman" w:hAnsi="Times New Roman" w:cs="Times New Roman"/>
          <w:sz w:val="24"/>
          <w:szCs w:val="24"/>
        </w:rPr>
        <w:t xml:space="preserve"> (plaanilistel juhtudel) ja pärast </w:t>
      </w:r>
      <w:proofErr w:type="spellStart"/>
      <w:r w:rsidR="00E74713" w:rsidRPr="00096B24">
        <w:rPr>
          <w:rFonts w:ascii="Times New Roman" w:hAnsi="Times New Roman" w:cs="Times New Roman"/>
          <w:sz w:val="24"/>
          <w:szCs w:val="24"/>
        </w:rPr>
        <w:t>endoproteesimist</w:t>
      </w:r>
      <w:proofErr w:type="spellEnd"/>
      <w:r w:rsidR="00E74713" w:rsidRPr="00096B24">
        <w:rPr>
          <w:rFonts w:ascii="Times New Roman" w:hAnsi="Times New Roman" w:cs="Times New Roman"/>
          <w:sz w:val="24"/>
          <w:szCs w:val="24"/>
        </w:rPr>
        <w:t xml:space="preserve">. </w:t>
      </w:r>
    </w:p>
    <w:p w14:paraId="09BC8ED9" w14:textId="2B60C01B" w:rsidR="00303701" w:rsidRDefault="00E74713" w:rsidP="00303701">
      <w:pPr>
        <w:spacing w:line="240" w:lineRule="auto"/>
        <w:jc w:val="both"/>
        <w:rPr>
          <w:rFonts w:ascii="Times New Roman" w:hAnsi="Times New Roman" w:cs="Times New Roman"/>
          <w:sz w:val="24"/>
          <w:szCs w:val="24"/>
        </w:rPr>
      </w:pPr>
      <w:r w:rsidRPr="00096B24">
        <w:rPr>
          <w:rFonts w:ascii="Times New Roman" w:hAnsi="Times New Roman" w:cs="Times New Roman"/>
          <w:sz w:val="24"/>
          <w:szCs w:val="24"/>
        </w:rPr>
        <w:t xml:space="preserve">Tulemused on esitatud </w:t>
      </w:r>
      <w:r w:rsidR="00317D79" w:rsidRPr="00096B24">
        <w:rPr>
          <w:rFonts w:ascii="Times New Roman" w:hAnsi="Times New Roman" w:cs="Times New Roman"/>
          <w:sz w:val="24"/>
          <w:szCs w:val="24"/>
        </w:rPr>
        <w:t>nelja o</w:t>
      </w:r>
      <w:r w:rsidRPr="00096B24">
        <w:rPr>
          <w:rFonts w:ascii="Times New Roman" w:hAnsi="Times New Roman" w:cs="Times New Roman"/>
          <w:sz w:val="24"/>
          <w:szCs w:val="24"/>
        </w:rPr>
        <w:t>sa</w:t>
      </w:r>
      <w:r w:rsidR="00317D79" w:rsidRPr="00096B24">
        <w:rPr>
          <w:rFonts w:ascii="Times New Roman" w:hAnsi="Times New Roman" w:cs="Times New Roman"/>
          <w:sz w:val="24"/>
          <w:szCs w:val="24"/>
        </w:rPr>
        <w:t>na</w:t>
      </w:r>
      <w:r w:rsidRPr="00096B24">
        <w:rPr>
          <w:rFonts w:ascii="Times New Roman" w:hAnsi="Times New Roman" w:cs="Times New Roman"/>
          <w:sz w:val="24"/>
          <w:szCs w:val="24"/>
        </w:rPr>
        <w:t xml:space="preserve">. Esiteks antakse </w:t>
      </w:r>
      <w:r w:rsidR="00317D79" w:rsidRPr="00096B24">
        <w:rPr>
          <w:rFonts w:ascii="Times New Roman" w:hAnsi="Times New Roman" w:cs="Times New Roman"/>
          <w:sz w:val="24"/>
          <w:szCs w:val="24"/>
        </w:rPr>
        <w:t xml:space="preserve">ülevaade </w:t>
      </w:r>
      <w:r w:rsidR="00726F03" w:rsidRPr="00096B24">
        <w:rPr>
          <w:rFonts w:ascii="Times New Roman" w:hAnsi="Times New Roman" w:cs="Times New Roman"/>
          <w:sz w:val="24"/>
          <w:szCs w:val="24"/>
        </w:rPr>
        <w:t>ravidokumentide vormistamisest, seejärel ravijuhtude kodeerimisest</w:t>
      </w:r>
      <w:r w:rsidR="00317D79" w:rsidRPr="00096B24">
        <w:rPr>
          <w:rFonts w:ascii="Times New Roman" w:hAnsi="Times New Roman" w:cs="Times New Roman"/>
          <w:sz w:val="24"/>
          <w:szCs w:val="24"/>
        </w:rPr>
        <w:t>,</w:t>
      </w:r>
      <w:r w:rsidRPr="00096B24">
        <w:rPr>
          <w:rFonts w:ascii="Times New Roman" w:hAnsi="Times New Roman" w:cs="Times New Roman"/>
          <w:sz w:val="24"/>
          <w:szCs w:val="24"/>
        </w:rPr>
        <w:t xml:space="preserve"> patsiendi teekonnast ja selle erinevatest aspektidest ning </w:t>
      </w:r>
      <w:r w:rsidR="00317D79" w:rsidRPr="00096B24">
        <w:rPr>
          <w:rFonts w:ascii="Times New Roman" w:hAnsi="Times New Roman" w:cs="Times New Roman"/>
          <w:sz w:val="24"/>
          <w:szCs w:val="24"/>
        </w:rPr>
        <w:t xml:space="preserve">lõpuks </w:t>
      </w:r>
      <w:r w:rsidR="00303701">
        <w:rPr>
          <w:rFonts w:ascii="Times New Roman" w:hAnsi="Times New Roman" w:cs="Times New Roman"/>
          <w:sz w:val="24"/>
          <w:szCs w:val="24"/>
        </w:rPr>
        <w:t>antakse soovitused</w:t>
      </w:r>
      <w:bookmarkStart w:id="11" w:name="_Toc75527261"/>
      <w:r w:rsidR="00303701">
        <w:rPr>
          <w:rFonts w:ascii="Times New Roman" w:hAnsi="Times New Roman" w:cs="Times New Roman"/>
          <w:sz w:val="24"/>
          <w:szCs w:val="24"/>
        </w:rPr>
        <w:t xml:space="preserve">, millele </w:t>
      </w:r>
      <w:proofErr w:type="spellStart"/>
      <w:r w:rsidR="00303701">
        <w:rPr>
          <w:rFonts w:ascii="Times New Roman" w:hAnsi="Times New Roman" w:cs="Times New Roman"/>
          <w:sz w:val="24"/>
          <w:szCs w:val="24"/>
        </w:rPr>
        <w:t>endoproteesimise</w:t>
      </w:r>
      <w:proofErr w:type="spellEnd"/>
      <w:r w:rsidR="00303701">
        <w:rPr>
          <w:rFonts w:ascii="Times New Roman" w:hAnsi="Times New Roman" w:cs="Times New Roman"/>
          <w:sz w:val="24"/>
          <w:szCs w:val="24"/>
        </w:rPr>
        <w:t xml:space="preserve"> raviteekonna kujundamisel tähelepanu pöörata. </w:t>
      </w:r>
    </w:p>
    <w:p w14:paraId="675E4572" w14:textId="6AC8217A" w:rsidR="00CF52DF" w:rsidRPr="00096B24" w:rsidRDefault="00CF52DF" w:rsidP="00303701">
      <w:pPr>
        <w:pStyle w:val="Heading1"/>
        <w:numPr>
          <w:ilvl w:val="1"/>
          <w:numId w:val="49"/>
        </w:numPr>
      </w:pPr>
      <w:r w:rsidRPr="00096B24">
        <w:rPr>
          <w:rStyle w:val="Heading1Char"/>
          <w:rFonts w:cs="Times New Roman"/>
          <w:b/>
          <w:szCs w:val="24"/>
        </w:rPr>
        <w:t>RAVI</w:t>
      </w:r>
      <w:bookmarkEnd w:id="11"/>
      <w:r w:rsidR="00726F03" w:rsidRPr="00096B24">
        <w:rPr>
          <w:rStyle w:val="Heading1Char"/>
          <w:rFonts w:cs="Times New Roman"/>
          <w:b/>
          <w:szCs w:val="24"/>
        </w:rPr>
        <w:t>DOKU</w:t>
      </w:r>
      <w:r w:rsidR="00864EBE" w:rsidRPr="00096B24">
        <w:rPr>
          <w:rStyle w:val="Heading1Char"/>
          <w:rFonts w:cs="Times New Roman"/>
          <w:b/>
          <w:szCs w:val="24"/>
        </w:rPr>
        <w:t>ME</w:t>
      </w:r>
      <w:r w:rsidR="00726F03" w:rsidRPr="00096B24">
        <w:rPr>
          <w:rStyle w:val="Heading1Char"/>
          <w:rFonts w:cs="Times New Roman"/>
          <w:b/>
          <w:szCs w:val="24"/>
        </w:rPr>
        <w:t>NTIDE VORMISTAMINE</w:t>
      </w:r>
    </w:p>
    <w:p w14:paraId="282CF4F6" w14:textId="00C0156C" w:rsidR="00410D29" w:rsidRPr="00096B24" w:rsidRDefault="00FA1D6F" w:rsidP="00096B24">
      <w:pPr>
        <w:spacing w:line="240" w:lineRule="auto"/>
        <w:jc w:val="both"/>
        <w:rPr>
          <w:rFonts w:ascii="Times New Roman" w:hAnsi="Times New Roman" w:cs="Times New Roman"/>
          <w:sz w:val="24"/>
          <w:szCs w:val="24"/>
        </w:rPr>
      </w:pPr>
      <w:r w:rsidRPr="00096B24">
        <w:rPr>
          <w:rFonts w:ascii="Times New Roman" w:hAnsi="Times New Roman" w:cs="Times New Roman"/>
          <w:sz w:val="24"/>
          <w:szCs w:val="24"/>
        </w:rPr>
        <w:t>Hinnatud dokumentide sissekanded kajastasid</w:t>
      </w:r>
      <w:r w:rsidR="00410D29" w:rsidRPr="00096B24">
        <w:rPr>
          <w:rFonts w:ascii="Times New Roman" w:hAnsi="Times New Roman" w:cs="Times New Roman"/>
          <w:sz w:val="24"/>
          <w:szCs w:val="24"/>
        </w:rPr>
        <w:t xml:space="preserve"> enamus juhtudel</w:t>
      </w:r>
      <w:r w:rsidRPr="00096B24">
        <w:rPr>
          <w:rFonts w:ascii="Times New Roman" w:hAnsi="Times New Roman" w:cs="Times New Roman"/>
          <w:sz w:val="24"/>
          <w:szCs w:val="24"/>
        </w:rPr>
        <w:t xml:space="preserve"> pöördumise põhjust, anamneesi, kaebuseid, objektiivset leidu, teostatud analüüse, uuringuid, teostatud operatsiooni, määratud ravi, seisundi dünaamikat, edasi suunamise andmeid. </w:t>
      </w:r>
    </w:p>
    <w:p w14:paraId="640284E8" w14:textId="53615D75" w:rsidR="00410D29" w:rsidRPr="00096B24" w:rsidRDefault="00410D29" w:rsidP="00096B24">
      <w:pPr>
        <w:spacing w:line="240" w:lineRule="auto"/>
        <w:jc w:val="both"/>
        <w:rPr>
          <w:rFonts w:ascii="Times New Roman" w:hAnsi="Times New Roman" w:cs="Times New Roman"/>
          <w:sz w:val="24"/>
          <w:szCs w:val="24"/>
        </w:rPr>
      </w:pPr>
      <w:r w:rsidRPr="00096B24">
        <w:rPr>
          <w:rFonts w:ascii="Times New Roman" w:hAnsi="Times New Roman" w:cs="Times New Roman"/>
          <w:sz w:val="24"/>
          <w:szCs w:val="24"/>
        </w:rPr>
        <w:lastRenderedPageBreak/>
        <w:t xml:space="preserve">Kõige enam esines haiguslugudes hooletusvigu ja ebakõlasid erinevate ravimeeskonna liikmete haigusloo sissekannete vahel. Näited: </w:t>
      </w:r>
    </w:p>
    <w:p w14:paraId="52A8CB24" w14:textId="2A54722F" w:rsidR="00410D29" w:rsidRPr="00096B24" w:rsidRDefault="00410D29" w:rsidP="00096B24">
      <w:pPr>
        <w:pStyle w:val="ListParagraph"/>
        <w:numPr>
          <w:ilvl w:val="0"/>
          <w:numId w:val="27"/>
        </w:numPr>
        <w:jc w:val="both"/>
      </w:pPr>
      <w:r w:rsidRPr="00096B24">
        <w:t xml:space="preserve">Ühel juhul </w:t>
      </w:r>
      <w:r w:rsidR="00FA1D6F" w:rsidRPr="00096B24">
        <w:t>o</w:t>
      </w:r>
      <w:r w:rsidRPr="00096B24">
        <w:t>li</w:t>
      </w:r>
      <w:r w:rsidR="00FA1D6F" w:rsidRPr="00096B24">
        <w:t xml:space="preserve"> teostatud patsiendile vasaku puusaliigese esmane </w:t>
      </w:r>
      <w:proofErr w:type="spellStart"/>
      <w:r w:rsidR="00FA1D6F" w:rsidRPr="00096B24">
        <w:t>endoproteesimine</w:t>
      </w:r>
      <w:proofErr w:type="spellEnd"/>
      <w:r w:rsidR="00FA1D6F" w:rsidRPr="00096B24">
        <w:t>. Epikriisile kantud kaebuste ja anamneesi osas o</w:t>
      </w:r>
      <w:r w:rsidRPr="00096B24">
        <w:t>li</w:t>
      </w:r>
      <w:r w:rsidR="00FA1D6F" w:rsidRPr="00096B24">
        <w:t xml:space="preserve"> aga kirjeldatud parema puusaliigese valu ja liikuvuspiirangut ja märgitud diagnoosiks parema puusaliigese koksartroos. Patsiendile o</w:t>
      </w:r>
      <w:r w:rsidRPr="00096B24">
        <w:t>li</w:t>
      </w:r>
      <w:r w:rsidR="00FA1D6F" w:rsidRPr="00096B24">
        <w:t xml:space="preserve"> </w:t>
      </w:r>
      <w:r w:rsidRPr="00096B24">
        <w:t>varasemalt</w:t>
      </w:r>
      <w:r w:rsidR="00FA1D6F" w:rsidRPr="00096B24">
        <w:t xml:space="preserve"> </w:t>
      </w:r>
      <w:r w:rsidRPr="00096B24">
        <w:t xml:space="preserve">juba </w:t>
      </w:r>
      <w:r w:rsidR="00FA1D6F" w:rsidRPr="00096B24">
        <w:t xml:space="preserve">teostatud parema puusaliigese </w:t>
      </w:r>
      <w:proofErr w:type="spellStart"/>
      <w:r w:rsidR="00FA1D6F" w:rsidRPr="00096B24">
        <w:t>endoproteesimine</w:t>
      </w:r>
      <w:proofErr w:type="spellEnd"/>
      <w:r w:rsidR="00FA1D6F" w:rsidRPr="00096B24">
        <w:t>. Käesolevalt on tegemist hooletusveaga haigusloo</w:t>
      </w:r>
      <w:r w:rsidRPr="00096B24">
        <w:t xml:space="preserve"> anamneesi peatüki</w:t>
      </w:r>
      <w:r w:rsidR="00FA1D6F" w:rsidRPr="00096B24">
        <w:t xml:space="preserve"> vormistamisel, </w:t>
      </w:r>
      <w:r w:rsidRPr="00096B24">
        <w:t>haigusloo teiste osade põhjal</w:t>
      </w:r>
      <w:r w:rsidR="00FA1D6F" w:rsidRPr="00096B24">
        <w:t xml:space="preserve"> </w:t>
      </w:r>
      <w:r w:rsidRPr="00096B24">
        <w:t>oli</w:t>
      </w:r>
      <w:r w:rsidR="00FA1D6F" w:rsidRPr="00096B24">
        <w:t xml:space="preserve"> </w:t>
      </w:r>
      <w:r w:rsidRPr="00096B24">
        <w:t xml:space="preserve">patsiendile </w:t>
      </w:r>
      <w:r w:rsidR="00FA1D6F" w:rsidRPr="00096B24">
        <w:t xml:space="preserve">osutatud õige ravi. </w:t>
      </w:r>
    </w:p>
    <w:p w14:paraId="08A141E8" w14:textId="5688E517" w:rsidR="00410D29" w:rsidRPr="00096B24" w:rsidRDefault="00FA1D6F" w:rsidP="00096B24">
      <w:pPr>
        <w:pStyle w:val="ListParagraph"/>
        <w:numPr>
          <w:ilvl w:val="0"/>
          <w:numId w:val="27"/>
        </w:numPr>
        <w:jc w:val="both"/>
      </w:pPr>
      <w:r w:rsidRPr="00096B24">
        <w:t>Operatsiooniprotokolli alusel kestis operatsioon 33 minutit</w:t>
      </w:r>
      <w:r w:rsidR="00410D29" w:rsidRPr="00096B24">
        <w:t xml:space="preserve">, </w:t>
      </w:r>
      <w:r w:rsidRPr="00096B24">
        <w:t>anesteesia kaard</w:t>
      </w:r>
      <w:r w:rsidR="00410D29" w:rsidRPr="00096B24">
        <w:t xml:space="preserve">ile oli operatsiooni kestuseks märgitud </w:t>
      </w:r>
      <w:r w:rsidRPr="00096B24">
        <w:t>1h 6minutit</w:t>
      </w:r>
      <w:r w:rsidR="00410D29" w:rsidRPr="00096B24">
        <w:t xml:space="preserve">. </w:t>
      </w:r>
      <w:r w:rsidRPr="00096B24">
        <w:t xml:space="preserve">Operatsiooni kestvuseks loetakse aega esimesest </w:t>
      </w:r>
      <w:proofErr w:type="spellStart"/>
      <w:r w:rsidRPr="00096B24">
        <w:t>intsisioonist</w:t>
      </w:r>
      <w:proofErr w:type="spellEnd"/>
      <w:r w:rsidRPr="00096B24">
        <w:t xml:space="preserve"> viimase õmbluseni või operatsiooni lõppemiseni. </w:t>
      </w:r>
      <w:r w:rsidR="00410D29" w:rsidRPr="00096B24">
        <w:t xml:space="preserve">Anesteesia kestvuseks loetakse aega anesteesia algusajast kuni lõpuajani. </w:t>
      </w:r>
    </w:p>
    <w:p w14:paraId="223E90FF" w14:textId="3217ED0E" w:rsidR="00EC7E26" w:rsidRPr="00096B24" w:rsidRDefault="00EC7E26" w:rsidP="00096B24">
      <w:pPr>
        <w:pStyle w:val="ListParagraph"/>
        <w:numPr>
          <w:ilvl w:val="0"/>
          <w:numId w:val="27"/>
        </w:numPr>
        <w:jc w:val="both"/>
      </w:pPr>
      <w:r w:rsidRPr="00096B24">
        <w:t xml:space="preserve">Operatsiooniprotokollis ei kirjeldatud patsiendi asendit operatsiooni ajal ega kumba puusaliigest opereeriti. Opereeritud kehapoolt ei ole kodeeritud ka NCSP alusel.  </w:t>
      </w:r>
    </w:p>
    <w:p w14:paraId="65DD867B" w14:textId="23150402" w:rsidR="00EC7E26" w:rsidRPr="00096B24" w:rsidRDefault="00FA1D6F" w:rsidP="00096B24">
      <w:pPr>
        <w:pStyle w:val="ListParagraph"/>
        <w:numPr>
          <w:ilvl w:val="0"/>
          <w:numId w:val="27"/>
        </w:numPr>
        <w:jc w:val="both"/>
      </w:pPr>
      <w:r w:rsidRPr="00096B24">
        <w:t xml:space="preserve">Patsiendile </w:t>
      </w:r>
      <w:r w:rsidR="00410D29" w:rsidRPr="00096B24">
        <w:t>teostati</w:t>
      </w:r>
      <w:r w:rsidRPr="00096B24">
        <w:t xml:space="preserve"> vasaku puusaliigese </w:t>
      </w:r>
      <w:proofErr w:type="spellStart"/>
      <w:r w:rsidRPr="00096B24">
        <w:t>endoproteesimine</w:t>
      </w:r>
      <w:proofErr w:type="spellEnd"/>
      <w:r w:rsidRPr="00096B24">
        <w:t xml:space="preserve">. Operatsiooniprotokollis on kirjas, et </w:t>
      </w:r>
      <w:r w:rsidR="00EC7E26" w:rsidRPr="00096B24">
        <w:t xml:space="preserve">patsient oli </w:t>
      </w:r>
      <w:proofErr w:type="spellStart"/>
      <w:r w:rsidR="00EC7E26" w:rsidRPr="00096B24">
        <w:t>spinaalanesteesias</w:t>
      </w:r>
      <w:proofErr w:type="spellEnd"/>
      <w:r w:rsidR="00EC7E26" w:rsidRPr="00096B24">
        <w:t xml:space="preserve"> vasemal küljel. Selline asend ei </w:t>
      </w:r>
      <w:r w:rsidRPr="00096B24">
        <w:t xml:space="preserve">võimalda teostada vasaku puusaliigese </w:t>
      </w:r>
      <w:proofErr w:type="spellStart"/>
      <w:r w:rsidRPr="00096B24">
        <w:t>endoproteesimist</w:t>
      </w:r>
      <w:proofErr w:type="spellEnd"/>
      <w:r w:rsidRPr="00096B24">
        <w:t xml:space="preserve">. </w:t>
      </w:r>
      <w:r w:rsidR="00EC7E26" w:rsidRPr="00096B24">
        <w:t xml:space="preserve">Operatsioonijärgsel röntgen-ülesvõttel oli kirjeldatud puusaliigese </w:t>
      </w:r>
      <w:proofErr w:type="spellStart"/>
      <w:r w:rsidR="00EC7E26" w:rsidRPr="00096B24">
        <w:t>endoproteesi</w:t>
      </w:r>
      <w:proofErr w:type="spellEnd"/>
      <w:r w:rsidR="00EC7E26" w:rsidRPr="00096B24">
        <w:t xml:space="preserve"> vasakul ja patsient oli saanud õige ravi. </w:t>
      </w:r>
    </w:p>
    <w:p w14:paraId="606B4D12" w14:textId="77777777" w:rsidR="006A5D89" w:rsidRPr="00096B24" w:rsidRDefault="006A5D89" w:rsidP="00096B24">
      <w:pPr>
        <w:jc w:val="both"/>
        <w:rPr>
          <w:rFonts w:ascii="Times New Roman" w:hAnsi="Times New Roman" w:cs="Times New Roman"/>
          <w:sz w:val="24"/>
          <w:szCs w:val="24"/>
        </w:rPr>
      </w:pPr>
    </w:p>
    <w:p w14:paraId="6A465E6F" w14:textId="26832A3B" w:rsidR="006A5D89" w:rsidRPr="00096B24" w:rsidRDefault="006A5D89" w:rsidP="00096B24">
      <w:pPr>
        <w:jc w:val="both"/>
        <w:rPr>
          <w:rFonts w:ascii="Times New Roman" w:hAnsi="Times New Roman" w:cs="Times New Roman"/>
          <w:sz w:val="24"/>
          <w:szCs w:val="24"/>
        </w:rPr>
      </w:pPr>
      <w:r w:rsidRPr="00096B24">
        <w:rPr>
          <w:rFonts w:ascii="Times New Roman" w:hAnsi="Times New Roman" w:cs="Times New Roman"/>
          <w:sz w:val="24"/>
          <w:szCs w:val="24"/>
        </w:rPr>
        <w:t>Kaasuvate haiguste kodeerimist oli sageli raske hinnata, sest haiguslugude sissekanded kaasuvate haiguste mõjust patsiendi käsitlusele olid puudulikud või puudusid üldse</w:t>
      </w:r>
      <w:r w:rsidR="00A35E7C" w:rsidRPr="00096B24">
        <w:rPr>
          <w:rFonts w:ascii="Times New Roman" w:hAnsi="Times New Roman" w:cs="Times New Roman"/>
          <w:sz w:val="24"/>
          <w:szCs w:val="24"/>
        </w:rPr>
        <w:t xml:space="preserve"> (vt 4.2.1 Põhi- ja kaasuvate haiguste kodeerimine). </w:t>
      </w:r>
    </w:p>
    <w:p w14:paraId="170C8736" w14:textId="2022B444" w:rsidR="00A25E74" w:rsidRPr="00096B24" w:rsidRDefault="00EB3D28" w:rsidP="00096B24">
      <w:pPr>
        <w:spacing w:line="240" w:lineRule="auto"/>
        <w:jc w:val="both"/>
        <w:rPr>
          <w:rFonts w:ascii="Times New Roman" w:hAnsi="Times New Roman" w:cs="Times New Roman"/>
          <w:sz w:val="24"/>
          <w:szCs w:val="24"/>
          <w:shd w:val="clear" w:color="auto" w:fill="FFFFFF"/>
        </w:rPr>
      </w:pPr>
      <w:r w:rsidRPr="00096B24">
        <w:rPr>
          <w:rFonts w:ascii="Times New Roman" w:hAnsi="Times New Roman" w:cs="Times New Roman"/>
          <w:sz w:val="24"/>
          <w:szCs w:val="24"/>
        </w:rPr>
        <w:t xml:space="preserve">Kuna antud sihtvaliku eesmärgiks oli kaardistada esmaselt puusaliigese </w:t>
      </w:r>
      <w:proofErr w:type="spellStart"/>
      <w:r w:rsidRPr="00096B24">
        <w:rPr>
          <w:rFonts w:ascii="Times New Roman" w:hAnsi="Times New Roman" w:cs="Times New Roman"/>
          <w:sz w:val="24"/>
          <w:szCs w:val="24"/>
        </w:rPr>
        <w:t>endoproteesimise</w:t>
      </w:r>
      <w:proofErr w:type="spellEnd"/>
      <w:r w:rsidRPr="00096B24">
        <w:rPr>
          <w:rFonts w:ascii="Times New Roman" w:hAnsi="Times New Roman" w:cs="Times New Roman"/>
          <w:sz w:val="24"/>
          <w:szCs w:val="24"/>
        </w:rPr>
        <w:t xml:space="preserve"> läbinud patsientide raviteekonna kliiniline kodeerimine, siis </w:t>
      </w:r>
      <w:r w:rsidR="00EC7E26" w:rsidRPr="00096B24">
        <w:rPr>
          <w:rFonts w:ascii="Times New Roman" w:hAnsi="Times New Roman" w:cs="Times New Roman"/>
          <w:sz w:val="24"/>
          <w:szCs w:val="24"/>
        </w:rPr>
        <w:t xml:space="preserve">pöörati eraldi tähelepanu taastusravi ja füsioteraapia teenuste kodeerimisele ja dokumenteerimisele. </w:t>
      </w:r>
      <w:proofErr w:type="spellStart"/>
      <w:r w:rsidRPr="00096B24">
        <w:rPr>
          <w:rFonts w:ascii="Times New Roman" w:hAnsi="Times New Roman" w:cs="Times New Roman"/>
          <w:sz w:val="24"/>
          <w:szCs w:val="24"/>
        </w:rPr>
        <w:t>TTLi</w:t>
      </w:r>
      <w:proofErr w:type="spellEnd"/>
      <w:r w:rsidRPr="00096B24">
        <w:rPr>
          <w:rFonts w:ascii="Times New Roman" w:hAnsi="Times New Roman" w:cs="Times New Roman"/>
          <w:sz w:val="24"/>
          <w:szCs w:val="24"/>
        </w:rPr>
        <w:t xml:space="preserve"> rakendussätete alusel sisaldab füsioteraapia piirhind (</w:t>
      </w:r>
      <w:r w:rsidRPr="00096B24">
        <w:rPr>
          <w:rFonts w:ascii="Times New Roman" w:hAnsi="Times New Roman" w:cs="Times New Roman"/>
          <w:sz w:val="24"/>
          <w:szCs w:val="24"/>
          <w:shd w:val="clear" w:color="auto" w:fill="FFFFFF"/>
        </w:rPr>
        <w:t>koodid 7050, 7051, 7052, 7056, 7057 ja 7060)</w:t>
      </w:r>
      <w:r w:rsidR="00A25E74" w:rsidRPr="00096B24">
        <w:rPr>
          <w:rFonts w:ascii="Times New Roman" w:hAnsi="Times New Roman" w:cs="Times New Roman"/>
          <w:sz w:val="24"/>
          <w:szCs w:val="24"/>
          <w:shd w:val="clear" w:color="auto" w:fill="FFFFFF"/>
        </w:rPr>
        <w:t xml:space="preserve"> </w:t>
      </w:r>
      <w:proofErr w:type="spellStart"/>
      <w:r w:rsidR="00A25E74" w:rsidRPr="00096B24">
        <w:rPr>
          <w:rFonts w:ascii="Times New Roman" w:hAnsi="Times New Roman" w:cs="Times New Roman"/>
          <w:sz w:val="24"/>
          <w:szCs w:val="24"/>
          <w:shd w:val="clear" w:color="auto" w:fill="FFFFFF"/>
        </w:rPr>
        <w:t>füsioterapeutilist</w:t>
      </w:r>
      <w:proofErr w:type="spellEnd"/>
      <w:r w:rsidR="00A25E74" w:rsidRPr="00096B24">
        <w:rPr>
          <w:rFonts w:ascii="Times New Roman" w:hAnsi="Times New Roman" w:cs="Times New Roman"/>
          <w:sz w:val="24"/>
          <w:szCs w:val="24"/>
          <w:shd w:val="clear" w:color="auto" w:fill="FFFFFF"/>
        </w:rPr>
        <w:t xml:space="preserve"> hindamist, diagnoosi määramist, füsioteraapia planeerimist, tegevuste läbiviimist ja </w:t>
      </w:r>
      <w:r w:rsidRPr="00096B24">
        <w:rPr>
          <w:rFonts w:ascii="Times New Roman" w:hAnsi="Times New Roman" w:cs="Times New Roman"/>
          <w:sz w:val="24"/>
          <w:szCs w:val="24"/>
          <w:shd w:val="clear" w:color="auto" w:fill="FFFFFF"/>
        </w:rPr>
        <w:t xml:space="preserve">teenuste osutamist tõendavate dokumentide vormistamist ning patsiendile tervishoiuteenuse osutamisega seotud andmete töötlemist infosüsteemis. </w:t>
      </w:r>
    </w:p>
    <w:p w14:paraId="0D15CEF8" w14:textId="77777777" w:rsidR="006F4C15" w:rsidRPr="00096B24" w:rsidRDefault="00A25E74" w:rsidP="00096B24">
      <w:pPr>
        <w:spacing w:line="240" w:lineRule="auto"/>
        <w:jc w:val="both"/>
        <w:rPr>
          <w:rFonts w:ascii="Times New Roman" w:hAnsi="Times New Roman" w:cs="Times New Roman"/>
          <w:sz w:val="24"/>
          <w:szCs w:val="24"/>
        </w:rPr>
      </w:pPr>
      <w:r w:rsidRPr="00096B24">
        <w:rPr>
          <w:rFonts w:ascii="Times New Roman" w:hAnsi="Times New Roman" w:cs="Times New Roman"/>
          <w:sz w:val="24"/>
          <w:szCs w:val="24"/>
        </w:rPr>
        <w:t>Füsioteraapiateenuste dokumenteerimisel oli väga levinud patsiendiga tehtud harjutuste sisu</w:t>
      </w:r>
      <w:r w:rsidR="006F4C15" w:rsidRPr="00096B24">
        <w:rPr>
          <w:rFonts w:ascii="Times New Roman" w:hAnsi="Times New Roman" w:cs="Times New Roman"/>
          <w:sz w:val="24"/>
          <w:szCs w:val="24"/>
        </w:rPr>
        <w:t xml:space="preserve"> kirjeldamine ja patsiendi seisundi mõju tegevuste sooritamisele (nt tuju, </w:t>
      </w:r>
      <w:proofErr w:type="spellStart"/>
      <w:r w:rsidR="006F4C15" w:rsidRPr="00096B24">
        <w:rPr>
          <w:rFonts w:ascii="Times New Roman" w:hAnsi="Times New Roman" w:cs="Times New Roman"/>
          <w:sz w:val="24"/>
          <w:szCs w:val="24"/>
        </w:rPr>
        <w:t>vertiigo</w:t>
      </w:r>
      <w:proofErr w:type="spellEnd"/>
      <w:r w:rsidR="006F4C15" w:rsidRPr="00096B24">
        <w:rPr>
          <w:rFonts w:ascii="Times New Roman" w:hAnsi="Times New Roman" w:cs="Times New Roman"/>
          <w:sz w:val="24"/>
          <w:szCs w:val="24"/>
        </w:rPr>
        <w:t xml:space="preserve"> esinemine, tugev valu). </w:t>
      </w:r>
      <w:proofErr w:type="spellStart"/>
      <w:r w:rsidR="006F4C15" w:rsidRPr="00096B24">
        <w:rPr>
          <w:rFonts w:ascii="Times New Roman" w:hAnsi="Times New Roman" w:cs="Times New Roman"/>
          <w:sz w:val="24"/>
          <w:szCs w:val="24"/>
        </w:rPr>
        <w:t>Füsioterapeutilist</w:t>
      </w:r>
      <w:proofErr w:type="spellEnd"/>
      <w:r w:rsidR="006F4C15" w:rsidRPr="00096B24">
        <w:rPr>
          <w:rFonts w:ascii="Times New Roman" w:hAnsi="Times New Roman" w:cs="Times New Roman"/>
          <w:sz w:val="24"/>
          <w:szCs w:val="24"/>
        </w:rPr>
        <w:t xml:space="preserve"> hindamist, diagnoosi määramist ja füsioteraapia planeerimist enamasti ei dokumenteeritud. Patsiendi raviteekonna seisukohalt oleks oluline patsiendi dünaamika hindamine ja dokumenteerimine.</w:t>
      </w:r>
    </w:p>
    <w:p w14:paraId="09707187" w14:textId="1680B32E" w:rsidR="00EC7E26" w:rsidRPr="00096B24" w:rsidRDefault="006F4C15" w:rsidP="00096B24">
      <w:pPr>
        <w:spacing w:line="240" w:lineRule="auto"/>
        <w:jc w:val="both"/>
        <w:rPr>
          <w:rFonts w:ascii="Times New Roman" w:hAnsi="Times New Roman" w:cs="Times New Roman"/>
          <w:sz w:val="24"/>
          <w:szCs w:val="24"/>
        </w:rPr>
      </w:pPr>
      <w:r w:rsidRPr="00096B24">
        <w:rPr>
          <w:rFonts w:ascii="Times New Roman" w:hAnsi="Times New Roman" w:cs="Times New Roman"/>
          <w:sz w:val="24"/>
          <w:szCs w:val="24"/>
        </w:rPr>
        <w:t xml:space="preserve">Rakendussätetes kirjeldatud elemente dokumenteerisid põhjalikumalt ja nõuetekohaselt statsionaarse taastusravi osakonnad, kuhu patsiendid </w:t>
      </w:r>
      <w:proofErr w:type="spellStart"/>
      <w:r w:rsidRPr="00096B24">
        <w:rPr>
          <w:rFonts w:ascii="Times New Roman" w:hAnsi="Times New Roman" w:cs="Times New Roman"/>
          <w:sz w:val="24"/>
          <w:szCs w:val="24"/>
        </w:rPr>
        <w:t>endoproteesimise</w:t>
      </w:r>
      <w:proofErr w:type="spellEnd"/>
      <w:r w:rsidRPr="00096B24">
        <w:rPr>
          <w:rFonts w:ascii="Times New Roman" w:hAnsi="Times New Roman" w:cs="Times New Roman"/>
          <w:sz w:val="24"/>
          <w:szCs w:val="24"/>
        </w:rPr>
        <w:t xml:space="preserve"> järgselt suunati. </w:t>
      </w:r>
    </w:p>
    <w:p w14:paraId="709B7708" w14:textId="167FBFE8" w:rsidR="00FA1D6F" w:rsidRPr="00096B24" w:rsidRDefault="00A25E74" w:rsidP="00096B24">
      <w:pPr>
        <w:spacing w:line="240" w:lineRule="auto"/>
        <w:jc w:val="both"/>
        <w:rPr>
          <w:rFonts w:ascii="Times New Roman" w:hAnsi="Times New Roman" w:cs="Times New Roman"/>
          <w:sz w:val="24"/>
          <w:szCs w:val="24"/>
        </w:rPr>
      </w:pPr>
      <w:r w:rsidRPr="00096B24">
        <w:rPr>
          <w:rFonts w:ascii="Times New Roman" w:hAnsi="Times New Roman" w:cs="Times New Roman"/>
          <w:sz w:val="24"/>
          <w:szCs w:val="24"/>
        </w:rPr>
        <w:t xml:space="preserve">Üksikutes asutustes pakuti ka tegevusteraapia teenust (koodid 7053, 7054, 7061), mille piirhinna sisse kuulub </w:t>
      </w:r>
      <w:proofErr w:type="spellStart"/>
      <w:r w:rsidRPr="00096B24">
        <w:rPr>
          <w:rFonts w:ascii="Times New Roman" w:hAnsi="Times New Roman" w:cs="Times New Roman"/>
          <w:sz w:val="24"/>
          <w:szCs w:val="24"/>
        </w:rPr>
        <w:t>TTLi</w:t>
      </w:r>
      <w:proofErr w:type="spellEnd"/>
      <w:r w:rsidRPr="00096B24">
        <w:rPr>
          <w:rFonts w:ascii="Times New Roman" w:hAnsi="Times New Roman" w:cs="Times New Roman"/>
          <w:sz w:val="24"/>
          <w:szCs w:val="24"/>
        </w:rPr>
        <w:t xml:space="preserve"> rakendussätete alusel tegevusvõime hindamine, igapäevaelu oskuste õpetamine ja harjutamine, tegevuseelduste arendamine, taastamine ja säilitamine, igapäevaelu tegevuste sooritamist toetavate abivahendite määramine, soovitamine ning kasutama õpetamine, keskkonna kohandamine patsiendi tegevusvõimele vastavaks, individuaalsete </w:t>
      </w:r>
      <w:proofErr w:type="spellStart"/>
      <w:r w:rsidRPr="00096B24">
        <w:rPr>
          <w:rFonts w:ascii="Times New Roman" w:hAnsi="Times New Roman" w:cs="Times New Roman"/>
          <w:sz w:val="24"/>
          <w:szCs w:val="24"/>
        </w:rPr>
        <w:t>ortooside</w:t>
      </w:r>
      <w:proofErr w:type="spellEnd"/>
      <w:r w:rsidRPr="00096B24">
        <w:rPr>
          <w:rFonts w:ascii="Times New Roman" w:hAnsi="Times New Roman" w:cs="Times New Roman"/>
          <w:sz w:val="24"/>
          <w:szCs w:val="24"/>
        </w:rPr>
        <w:t xml:space="preserve"> valmistamine, tegevusvõimealane juhendamine ja nõustamine ning teenuste osutamist tõendavate dokumentide vormistamine ning patsiendile tervishoiuteenuse osutamisega seotud andmete töötlemine tervise infosüsteemis.</w:t>
      </w:r>
    </w:p>
    <w:p w14:paraId="3DF1D450" w14:textId="4BF6B0CF" w:rsidR="006F4C15" w:rsidRPr="00096B24" w:rsidRDefault="006F4C15" w:rsidP="00096B24">
      <w:pPr>
        <w:spacing w:line="240" w:lineRule="auto"/>
        <w:jc w:val="both"/>
        <w:rPr>
          <w:rFonts w:ascii="Times New Roman" w:hAnsi="Times New Roman" w:cs="Times New Roman"/>
          <w:sz w:val="24"/>
          <w:szCs w:val="24"/>
        </w:rPr>
      </w:pPr>
      <w:r w:rsidRPr="00096B24">
        <w:rPr>
          <w:rFonts w:ascii="Times New Roman" w:hAnsi="Times New Roman" w:cs="Times New Roman"/>
          <w:sz w:val="24"/>
          <w:szCs w:val="24"/>
        </w:rPr>
        <w:lastRenderedPageBreak/>
        <w:t xml:space="preserve">Tegevusteraapia teenuse osutamist tõendavad sissekanded olid enamasti põhjalikumad ja rakendussätetes esinevaid nõudeid järgivad – kirjeldati nii seatud eesmärke, teostatud tegevusi kui patsiendi tegevusalase võimekuse dünaamikat. </w:t>
      </w:r>
    </w:p>
    <w:p w14:paraId="432C1A9E" w14:textId="680DD167" w:rsidR="00FA1D6F" w:rsidRPr="00096B24" w:rsidRDefault="00726F03" w:rsidP="00096B24">
      <w:pPr>
        <w:pStyle w:val="Heading1"/>
        <w:spacing w:before="0" w:after="240" w:line="240" w:lineRule="auto"/>
        <w:jc w:val="both"/>
        <w:rPr>
          <w:rFonts w:cs="Times New Roman"/>
          <w:bCs/>
          <w:szCs w:val="24"/>
        </w:rPr>
      </w:pPr>
      <w:r w:rsidRPr="00096B24">
        <w:rPr>
          <w:rFonts w:cs="Times New Roman"/>
          <w:bCs/>
          <w:szCs w:val="24"/>
        </w:rPr>
        <w:t>4.2  RAVIJUHTUDE KODEERIMINE</w:t>
      </w:r>
    </w:p>
    <w:p w14:paraId="6E2430EE" w14:textId="4E231DC9" w:rsidR="00FA1D6F" w:rsidRPr="00096B24" w:rsidRDefault="00FA1D6F" w:rsidP="00096B24">
      <w:pPr>
        <w:spacing w:line="240" w:lineRule="auto"/>
        <w:jc w:val="both"/>
        <w:rPr>
          <w:rFonts w:ascii="Times New Roman" w:hAnsi="Times New Roman" w:cs="Times New Roman"/>
          <w:sz w:val="24"/>
          <w:szCs w:val="24"/>
        </w:rPr>
      </w:pPr>
      <w:bookmarkStart w:id="12" w:name="_Hlk74235687"/>
      <w:r w:rsidRPr="00096B24">
        <w:rPr>
          <w:rFonts w:ascii="Times New Roman" w:hAnsi="Times New Roman" w:cs="Times New Roman"/>
          <w:sz w:val="24"/>
          <w:szCs w:val="24"/>
        </w:rPr>
        <w:t>Hinnati raviepisoodi ajal käsitletud patsiendi terviseprobleemide, haigusete, kirurgiliste protseduuride ja operatsioonide kodeerimise vastavust RHK-10 ja NOMESCO (NCSP) põhimõtetele.</w:t>
      </w:r>
    </w:p>
    <w:p w14:paraId="705E290C" w14:textId="77777777" w:rsidR="009D2EE2" w:rsidRPr="00096B24" w:rsidRDefault="009D2EE2" w:rsidP="00096B24">
      <w:pPr>
        <w:jc w:val="both"/>
        <w:rPr>
          <w:rFonts w:ascii="Times New Roman" w:hAnsi="Times New Roman" w:cs="Times New Roman"/>
          <w:color w:val="FF0000"/>
          <w:sz w:val="24"/>
          <w:szCs w:val="24"/>
          <w:u w:val="single"/>
        </w:rPr>
      </w:pPr>
      <w:r w:rsidRPr="00096B24">
        <w:rPr>
          <w:rFonts w:ascii="Times New Roman" w:hAnsi="Times New Roman" w:cs="Times New Roman"/>
          <w:i/>
          <w:iCs/>
          <w:sz w:val="24"/>
          <w:szCs w:val="24"/>
          <w:u w:val="single"/>
        </w:rPr>
        <w:t>Diagnooside</w:t>
      </w:r>
      <w:r w:rsidRPr="00096B24">
        <w:rPr>
          <w:rFonts w:ascii="Times New Roman" w:hAnsi="Times New Roman" w:cs="Times New Roman"/>
          <w:i/>
          <w:iCs/>
          <w:sz w:val="24"/>
          <w:szCs w:val="24"/>
        </w:rPr>
        <w:t xml:space="preserve"> kodeerimise õigsuse hindamisel raviarvetele lähtuti RHK-10 reeglitest (RHK-10 2. köide lk 84-104), mille alusel peamist seisundit määratletakse kui seisundit, mida diagnoositi tervisehoolduse episoodi lõpul kui esmasena patsiendi ravi- ja uurimisvajadusi tinginut. Seega raviarvele põhiseisundi registreerimisel juhinduda mitte patsiendile määratud </w:t>
      </w:r>
      <w:proofErr w:type="spellStart"/>
      <w:r w:rsidRPr="00096B24">
        <w:rPr>
          <w:rFonts w:ascii="Times New Roman" w:hAnsi="Times New Roman" w:cs="Times New Roman"/>
          <w:i/>
          <w:iCs/>
          <w:sz w:val="24"/>
          <w:szCs w:val="24"/>
        </w:rPr>
        <w:t>etiopatogeneetilisest</w:t>
      </w:r>
      <w:proofErr w:type="spellEnd"/>
      <w:r w:rsidRPr="00096B24">
        <w:rPr>
          <w:rFonts w:ascii="Times New Roman" w:hAnsi="Times New Roman" w:cs="Times New Roman"/>
          <w:i/>
          <w:iCs/>
          <w:sz w:val="24"/>
          <w:szCs w:val="24"/>
        </w:rPr>
        <w:t xml:space="preserve"> </w:t>
      </w:r>
      <w:proofErr w:type="spellStart"/>
      <w:r w:rsidRPr="00096B24">
        <w:rPr>
          <w:rFonts w:ascii="Times New Roman" w:hAnsi="Times New Roman" w:cs="Times New Roman"/>
          <w:i/>
          <w:iCs/>
          <w:sz w:val="24"/>
          <w:szCs w:val="24"/>
        </w:rPr>
        <w:t>e.</w:t>
      </w:r>
      <w:proofErr w:type="spellEnd"/>
      <w:r w:rsidRPr="00096B24">
        <w:rPr>
          <w:rFonts w:ascii="Times New Roman" w:hAnsi="Times New Roman" w:cs="Times New Roman"/>
          <w:i/>
          <w:iCs/>
          <w:sz w:val="24"/>
          <w:szCs w:val="24"/>
        </w:rPr>
        <w:t xml:space="preserve"> kliinilisest diagnoosist, vaid lähtuda käesolevast raviepisoodist. Kui seesuguseid seisundeid on rohkem kui üks, tuleb nende hulgast valida see, mis põhjustas suurimat ressursside kasutust. Varasemate episoodidega seotud seisundeid, millel pole käesoleva raviepisoodi suhtes tähtsust, mitte kanda raviarvele. </w:t>
      </w:r>
    </w:p>
    <w:p w14:paraId="67599683" w14:textId="77777777" w:rsidR="009D2EE2" w:rsidRPr="00096B24" w:rsidRDefault="009D2EE2" w:rsidP="00096B24">
      <w:pPr>
        <w:jc w:val="both"/>
        <w:rPr>
          <w:rFonts w:ascii="Times New Roman" w:hAnsi="Times New Roman" w:cs="Times New Roman"/>
          <w:i/>
          <w:iCs/>
          <w:sz w:val="24"/>
          <w:szCs w:val="24"/>
        </w:rPr>
      </w:pPr>
      <w:r w:rsidRPr="00096B24">
        <w:rPr>
          <w:rFonts w:ascii="Times New Roman" w:hAnsi="Times New Roman" w:cs="Times New Roman"/>
          <w:i/>
          <w:iCs/>
          <w:sz w:val="24"/>
          <w:szCs w:val="24"/>
        </w:rPr>
        <w:t>Kaasuvate haigustena tuleb loetleda muid seisundeid ja probleeme, millega tervisehoolduse episoodi kestel tegeldi. Muud seisundid määratletakse nende seisunditena, mis esinevad üheaegselt tervisehoolduse episoodiga või arenevad ajal ja mis mõjutavad patsiendi käitlemist. Varasemate episoodidega seotud seisundeid, millel pole käesoleva suhtes tähtsust, ei ole vaja sisse kanda.</w:t>
      </w:r>
    </w:p>
    <w:p w14:paraId="72F001D1" w14:textId="77777777" w:rsidR="009D2EE2" w:rsidRPr="00096B24" w:rsidRDefault="009D2EE2" w:rsidP="00096B24">
      <w:pPr>
        <w:jc w:val="both"/>
        <w:rPr>
          <w:rFonts w:ascii="Times New Roman" w:hAnsi="Times New Roman" w:cs="Times New Roman"/>
          <w:i/>
          <w:iCs/>
          <w:sz w:val="24"/>
          <w:szCs w:val="24"/>
        </w:rPr>
      </w:pPr>
      <w:r w:rsidRPr="00096B24">
        <w:rPr>
          <w:rFonts w:ascii="Times New Roman" w:hAnsi="Times New Roman" w:cs="Times New Roman"/>
          <w:i/>
          <w:iCs/>
          <w:sz w:val="24"/>
          <w:szCs w:val="24"/>
        </w:rPr>
        <w:t>Operatsioonide ja kirurgiliste protseduuride korral hinnati kas oli valitud tegevusele vastav NCSP kood.</w:t>
      </w:r>
    </w:p>
    <w:p w14:paraId="520352A1" w14:textId="7BF389A1" w:rsidR="006F3360" w:rsidRPr="00096B24" w:rsidRDefault="006F3360" w:rsidP="00096B24">
      <w:pPr>
        <w:pStyle w:val="Heading1"/>
        <w:jc w:val="both"/>
        <w:rPr>
          <w:rFonts w:cs="Times New Roman"/>
          <w:color w:val="auto"/>
          <w:szCs w:val="24"/>
        </w:rPr>
      </w:pPr>
      <w:r w:rsidRPr="00096B24">
        <w:rPr>
          <w:rFonts w:cs="Times New Roman"/>
          <w:szCs w:val="24"/>
        </w:rPr>
        <w:t xml:space="preserve">4.2.1 Põhi- ja kaasuvate haiguste kodeerimine </w:t>
      </w:r>
    </w:p>
    <w:bookmarkEnd w:id="12"/>
    <w:p w14:paraId="77FC7F6F" w14:textId="2651C359" w:rsidR="009D2EE2" w:rsidRPr="00096B24" w:rsidRDefault="00FF58CF" w:rsidP="00096B24">
      <w:pPr>
        <w:spacing w:line="240" w:lineRule="auto"/>
        <w:jc w:val="both"/>
        <w:rPr>
          <w:rFonts w:ascii="Times New Roman" w:hAnsi="Times New Roman" w:cs="Times New Roman"/>
          <w:sz w:val="24"/>
          <w:szCs w:val="24"/>
        </w:rPr>
      </w:pPr>
      <w:r w:rsidRPr="00096B24">
        <w:rPr>
          <w:rFonts w:ascii="Times New Roman" w:hAnsi="Times New Roman" w:cs="Times New Roman"/>
          <w:sz w:val="24"/>
          <w:szCs w:val="24"/>
        </w:rPr>
        <w:t xml:space="preserve">Plaaniliste puusaliigese </w:t>
      </w:r>
      <w:proofErr w:type="spellStart"/>
      <w:r w:rsidRPr="00096B24">
        <w:rPr>
          <w:rFonts w:ascii="Times New Roman" w:hAnsi="Times New Roman" w:cs="Times New Roman"/>
          <w:sz w:val="24"/>
          <w:szCs w:val="24"/>
        </w:rPr>
        <w:t>endoproteesimise</w:t>
      </w:r>
      <w:proofErr w:type="spellEnd"/>
      <w:r w:rsidRPr="00096B24">
        <w:rPr>
          <w:rFonts w:ascii="Times New Roman" w:hAnsi="Times New Roman" w:cs="Times New Roman"/>
          <w:sz w:val="24"/>
          <w:szCs w:val="24"/>
        </w:rPr>
        <w:t xml:space="preserve"> juhtudel oli </w:t>
      </w:r>
      <w:r w:rsidRPr="00096B24">
        <w:rPr>
          <w:rFonts w:ascii="Times New Roman" w:hAnsi="Times New Roman" w:cs="Times New Roman"/>
          <w:b/>
          <w:bCs/>
          <w:sz w:val="24"/>
          <w:szCs w:val="24"/>
        </w:rPr>
        <w:t xml:space="preserve">põhihaiguseks </w:t>
      </w:r>
      <w:r w:rsidRPr="00096B24">
        <w:rPr>
          <w:rFonts w:ascii="Times New Roman" w:hAnsi="Times New Roman" w:cs="Times New Roman"/>
          <w:sz w:val="24"/>
          <w:szCs w:val="24"/>
        </w:rPr>
        <w:t>M16.x või</w:t>
      </w:r>
      <w:r w:rsidRPr="00096B24">
        <w:rPr>
          <w:rFonts w:ascii="Times New Roman" w:hAnsi="Times New Roman" w:cs="Times New Roman"/>
          <w:b/>
          <w:bCs/>
          <w:sz w:val="24"/>
          <w:szCs w:val="24"/>
        </w:rPr>
        <w:t xml:space="preserve"> </w:t>
      </w:r>
      <w:r w:rsidRPr="00096B24">
        <w:rPr>
          <w:rFonts w:ascii="Times New Roman" w:hAnsi="Times New Roman" w:cs="Times New Roman"/>
          <w:sz w:val="24"/>
          <w:szCs w:val="24"/>
        </w:rPr>
        <w:t xml:space="preserve">M87.x (vt tabel </w:t>
      </w:r>
      <w:r w:rsidR="00303701">
        <w:rPr>
          <w:rFonts w:ascii="Times New Roman" w:hAnsi="Times New Roman" w:cs="Times New Roman"/>
          <w:sz w:val="24"/>
          <w:szCs w:val="24"/>
        </w:rPr>
        <w:t>1</w:t>
      </w:r>
      <w:r w:rsidRPr="00096B24">
        <w:rPr>
          <w:rFonts w:ascii="Times New Roman" w:hAnsi="Times New Roman" w:cs="Times New Roman"/>
          <w:sz w:val="24"/>
          <w:szCs w:val="24"/>
        </w:rPr>
        <w:t xml:space="preserve">).  </w:t>
      </w:r>
      <w:r w:rsidR="00310951" w:rsidRPr="00096B24">
        <w:rPr>
          <w:rFonts w:ascii="Times New Roman" w:hAnsi="Times New Roman" w:cs="Times New Roman"/>
          <w:sz w:val="24"/>
          <w:szCs w:val="24"/>
        </w:rPr>
        <w:t>Tegemist on valdavalt pikaajaliselt kulgevate haigustega. Kolmel juhul oli põhihaigus ekslikult märgitud esmahaigestumiseks</w:t>
      </w:r>
    </w:p>
    <w:p w14:paraId="4C685034" w14:textId="2F054388" w:rsidR="00FF58CF" w:rsidRPr="00096B24" w:rsidRDefault="00310951" w:rsidP="00096B24">
      <w:pPr>
        <w:spacing w:line="240" w:lineRule="auto"/>
        <w:jc w:val="both"/>
        <w:rPr>
          <w:rFonts w:ascii="Times New Roman" w:hAnsi="Times New Roman" w:cs="Times New Roman"/>
          <w:color w:val="7030A0"/>
          <w:sz w:val="24"/>
          <w:szCs w:val="24"/>
        </w:rPr>
      </w:pPr>
      <w:r w:rsidRPr="00096B24">
        <w:rPr>
          <w:rFonts w:ascii="Times New Roman" w:hAnsi="Times New Roman" w:cs="Times New Roman"/>
          <w:sz w:val="24"/>
          <w:szCs w:val="24"/>
        </w:rPr>
        <w:t xml:space="preserve"> kuigi vastav diagnoos esines patsiendi haiguslugudes ka varem (sh saatekirjal). </w:t>
      </w:r>
      <w:r w:rsidRPr="00096B24">
        <w:rPr>
          <w:rFonts w:ascii="Times New Roman" w:hAnsi="Times New Roman" w:cs="Times New Roman"/>
          <w:color w:val="7030A0"/>
          <w:sz w:val="24"/>
          <w:szCs w:val="24"/>
        </w:rPr>
        <w:t xml:space="preserve"> </w:t>
      </w:r>
    </w:p>
    <w:p w14:paraId="742A58BB" w14:textId="77777777" w:rsidR="00310951" w:rsidRPr="00096B24" w:rsidRDefault="00310951" w:rsidP="00096B24">
      <w:pPr>
        <w:spacing w:line="240" w:lineRule="auto"/>
        <w:jc w:val="both"/>
        <w:rPr>
          <w:rFonts w:ascii="Times New Roman" w:hAnsi="Times New Roman" w:cs="Times New Roman"/>
          <w:color w:val="7030A0"/>
          <w:sz w:val="24"/>
          <w:szCs w:val="24"/>
        </w:rPr>
      </w:pPr>
    </w:p>
    <w:p w14:paraId="211508AC" w14:textId="2CF83A42" w:rsidR="00FF58CF" w:rsidRPr="00096B24" w:rsidRDefault="00FF58CF" w:rsidP="00096B24">
      <w:pPr>
        <w:spacing w:after="0" w:line="240" w:lineRule="auto"/>
        <w:jc w:val="both"/>
        <w:rPr>
          <w:rFonts w:ascii="Times New Roman" w:hAnsi="Times New Roman" w:cs="Times New Roman"/>
          <w:sz w:val="24"/>
          <w:szCs w:val="24"/>
        </w:rPr>
      </w:pPr>
      <w:r w:rsidRPr="00096B24">
        <w:rPr>
          <w:rFonts w:ascii="Times New Roman" w:hAnsi="Times New Roman" w:cs="Times New Roman"/>
          <w:sz w:val="24"/>
          <w:szCs w:val="24"/>
        </w:rPr>
        <w:t xml:space="preserve">Tabel </w:t>
      </w:r>
      <w:r w:rsidR="00303701">
        <w:rPr>
          <w:rFonts w:ascii="Times New Roman" w:hAnsi="Times New Roman" w:cs="Times New Roman"/>
          <w:sz w:val="24"/>
          <w:szCs w:val="24"/>
        </w:rPr>
        <w:t>1</w:t>
      </w:r>
      <w:r w:rsidRPr="00096B24">
        <w:rPr>
          <w:rFonts w:ascii="Times New Roman" w:hAnsi="Times New Roman" w:cs="Times New Roman"/>
          <w:sz w:val="24"/>
          <w:szCs w:val="24"/>
        </w:rPr>
        <w:t>. Juhtude jaotus põhihaiguste järgi</w:t>
      </w:r>
      <w:r w:rsidR="00EC3572" w:rsidRPr="00096B24">
        <w:rPr>
          <w:rFonts w:ascii="Times New Roman" w:hAnsi="Times New Roman" w:cs="Times New Roman"/>
          <w:sz w:val="24"/>
          <w:szCs w:val="24"/>
        </w:rPr>
        <w:t xml:space="preserve"> plaanilistel puusaliigese </w:t>
      </w:r>
      <w:proofErr w:type="spellStart"/>
      <w:r w:rsidR="00EC3572" w:rsidRPr="00096B24">
        <w:rPr>
          <w:rFonts w:ascii="Times New Roman" w:hAnsi="Times New Roman" w:cs="Times New Roman"/>
          <w:sz w:val="24"/>
          <w:szCs w:val="24"/>
        </w:rPr>
        <w:t>endoproteesimistel</w:t>
      </w:r>
      <w:proofErr w:type="spellEnd"/>
      <w:r w:rsidR="00EC3572" w:rsidRPr="00096B24">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63"/>
        <w:gridCol w:w="899"/>
        <w:gridCol w:w="899"/>
        <w:gridCol w:w="899"/>
        <w:gridCol w:w="900"/>
        <w:gridCol w:w="900"/>
        <w:gridCol w:w="900"/>
        <w:gridCol w:w="900"/>
        <w:gridCol w:w="901"/>
        <w:gridCol w:w="901"/>
      </w:tblGrid>
      <w:tr w:rsidR="00FF58CF" w:rsidRPr="00096B24" w14:paraId="6E910BCF" w14:textId="77777777" w:rsidTr="00CA5620">
        <w:tc>
          <w:tcPr>
            <w:tcW w:w="906" w:type="dxa"/>
          </w:tcPr>
          <w:p w14:paraId="2C253AC9" w14:textId="77777777" w:rsidR="00FF58CF" w:rsidRPr="00096B24" w:rsidRDefault="00FF58CF" w:rsidP="00096B24">
            <w:pPr>
              <w:jc w:val="both"/>
              <w:rPr>
                <w:rFonts w:ascii="Times New Roman" w:hAnsi="Times New Roman" w:cs="Times New Roman"/>
                <w:sz w:val="24"/>
                <w:szCs w:val="24"/>
              </w:rPr>
            </w:pPr>
          </w:p>
        </w:tc>
        <w:tc>
          <w:tcPr>
            <w:tcW w:w="8156" w:type="dxa"/>
            <w:gridSpan w:val="9"/>
          </w:tcPr>
          <w:p w14:paraId="7F6F5EB4" w14:textId="622D90FA" w:rsidR="00FF58CF" w:rsidRPr="00096B24" w:rsidRDefault="00FF58CF" w:rsidP="00096B24">
            <w:pPr>
              <w:jc w:val="both"/>
              <w:rPr>
                <w:rFonts w:ascii="Times New Roman" w:hAnsi="Times New Roman" w:cs="Times New Roman"/>
                <w:sz w:val="24"/>
                <w:szCs w:val="24"/>
              </w:rPr>
            </w:pPr>
            <w:r w:rsidRPr="00096B24">
              <w:rPr>
                <w:rFonts w:ascii="Times New Roman" w:hAnsi="Times New Roman" w:cs="Times New Roman"/>
                <w:sz w:val="24"/>
                <w:szCs w:val="24"/>
              </w:rPr>
              <w:t>Põhihaigus</w:t>
            </w:r>
          </w:p>
        </w:tc>
      </w:tr>
      <w:tr w:rsidR="00FF58CF" w:rsidRPr="00096B24" w14:paraId="3C14760B" w14:textId="77777777" w:rsidTr="00FF58CF">
        <w:tc>
          <w:tcPr>
            <w:tcW w:w="906" w:type="dxa"/>
          </w:tcPr>
          <w:p w14:paraId="4D7EFE1B" w14:textId="77777777" w:rsidR="00FF58CF" w:rsidRPr="00096B24" w:rsidRDefault="00FF58CF" w:rsidP="00096B24">
            <w:pPr>
              <w:jc w:val="both"/>
              <w:rPr>
                <w:rFonts w:ascii="Times New Roman" w:hAnsi="Times New Roman" w:cs="Times New Roman"/>
                <w:sz w:val="24"/>
                <w:szCs w:val="24"/>
              </w:rPr>
            </w:pPr>
          </w:p>
        </w:tc>
        <w:tc>
          <w:tcPr>
            <w:tcW w:w="906" w:type="dxa"/>
          </w:tcPr>
          <w:p w14:paraId="1BE74008" w14:textId="1F9AB2BA" w:rsidR="00FF58CF" w:rsidRPr="00096B24" w:rsidRDefault="00FF58CF" w:rsidP="00096B24">
            <w:pPr>
              <w:jc w:val="both"/>
              <w:rPr>
                <w:rFonts w:ascii="Times New Roman" w:hAnsi="Times New Roman" w:cs="Times New Roman"/>
                <w:sz w:val="24"/>
                <w:szCs w:val="24"/>
              </w:rPr>
            </w:pPr>
            <w:r w:rsidRPr="00096B24">
              <w:rPr>
                <w:rFonts w:ascii="Times New Roman" w:hAnsi="Times New Roman" w:cs="Times New Roman"/>
                <w:sz w:val="24"/>
                <w:szCs w:val="24"/>
              </w:rPr>
              <w:t>M16.0</w:t>
            </w:r>
          </w:p>
        </w:tc>
        <w:tc>
          <w:tcPr>
            <w:tcW w:w="906" w:type="dxa"/>
          </w:tcPr>
          <w:p w14:paraId="11902DCE" w14:textId="1C7ED4EE" w:rsidR="00FF58CF" w:rsidRPr="00096B24" w:rsidRDefault="00FF58CF" w:rsidP="00096B24">
            <w:pPr>
              <w:jc w:val="both"/>
              <w:rPr>
                <w:rFonts w:ascii="Times New Roman" w:hAnsi="Times New Roman" w:cs="Times New Roman"/>
                <w:sz w:val="24"/>
                <w:szCs w:val="24"/>
              </w:rPr>
            </w:pPr>
            <w:r w:rsidRPr="00096B24">
              <w:rPr>
                <w:rFonts w:ascii="Times New Roman" w:hAnsi="Times New Roman" w:cs="Times New Roman"/>
                <w:sz w:val="24"/>
                <w:szCs w:val="24"/>
              </w:rPr>
              <w:t>M16.1</w:t>
            </w:r>
          </w:p>
        </w:tc>
        <w:tc>
          <w:tcPr>
            <w:tcW w:w="906" w:type="dxa"/>
          </w:tcPr>
          <w:p w14:paraId="6339E278" w14:textId="54687367" w:rsidR="00FF58CF" w:rsidRPr="00096B24" w:rsidRDefault="00FF58CF" w:rsidP="00096B24">
            <w:pPr>
              <w:jc w:val="both"/>
              <w:rPr>
                <w:rFonts w:ascii="Times New Roman" w:hAnsi="Times New Roman" w:cs="Times New Roman"/>
                <w:sz w:val="24"/>
                <w:szCs w:val="24"/>
              </w:rPr>
            </w:pPr>
            <w:r w:rsidRPr="00096B24">
              <w:rPr>
                <w:rFonts w:ascii="Times New Roman" w:hAnsi="Times New Roman" w:cs="Times New Roman"/>
                <w:sz w:val="24"/>
                <w:szCs w:val="24"/>
              </w:rPr>
              <w:t>M16.3</w:t>
            </w:r>
          </w:p>
        </w:tc>
        <w:tc>
          <w:tcPr>
            <w:tcW w:w="906" w:type="dxa"/>
          </w:tcPr>
          <w:p w14:paraId="3EB1FCFF" w14:textId="2F50FEED" w:rsidR="00FF58CF" w:rsidRPr="00096B24" w:rsidRDefault="00FF58CF" w:rsidP="00096B24">
            <w:pPr>
              <w:jc w:val="both"/>
              <w:rPr>
                <w:rFonts w:ascii="Times New Roman" w:hAnsi="Times New Roman" w:cs="Times New Roman"/>
                <w:sz w:val="24"/>
                <w:szCs w:val="24"/>
              </w:rPr>
            </w:pPr>
            <w:r w:rsidRPr="00096B24">
              <w:rPr>
                <w:rFonts w:ascii="Times New Roman" w:hAnsi="Times New Roman" w:cs="Times New Roman"/>
                <w:sz w:val="24"/>
                <w:szCs w:val="24"/>
              </w:rPr>
              <w:t>M16.4</w:t>
            </w:r>
          </w:p>
        </w:tc>
        <w:tc>
          <w:tcPr>
            <w:tcW w:w="906" w:type="dxa"/>
          </w:tcPr>
          <w:p w14:paraId="4D438F96" w14:textId="52AC5C26" w:rsidR="00FF58CF" w:rsidRPr="00096B24" w:rsidRDefault="00FF58CF" w:rsidP="00096B24">
            <w:pPr>
              <w:jc w:val="both"/>
              <w:rPr>
                <w:rFonts w:ascii="Times New Roman" w:hAnsi="Times New Roman" w:cs="Times New Roman"/>
                <w:sz w:val="24"/>
                <w:szCs w:val="24"/>
              </w:rPr>
            </w:pPr>
            <w:r w:rsidRPr="00096B24">
              <w:rPr>
                <w:rFonts w:ascii="Times New Roman" w:hAnsi="Times New Roman" w:cs="Times New Roman"/>
                <w:sz w:val="24"/>
                <w:szCs w:val="24"/>
              </w:rPr>
              <w:t>M16.5</w:t>
            </w:r>
          </w:p>
        </w:tc>
        <w:tc>
          <w:tcPr>
            <w:tcW w:w="906" w:type="dxa"/>
          </w:tcPr>
          <w:p w14:paraId="33E85C3D" w14:textId="7A529704" w:rsidR="00FF58CF" w:rsidRPr="00096B24" w:rsidRDefault="00FF58CF" w:rsidP="00096B24">
            <w:pPr>
              <w:jc w:val="both"/>
              <w:rPr>
                <w:rFonts w:ascii="Times New Roman" w:hAnsi="Times New Roman" w:cs="Times New Roman"/>
                <w:sz w:val="24"/>
                <w:szCs w:val="24"/>
              </w:rPr>
            </w:pPr>
            <w:r w:rsidRPr="00096B24">
              <w:rPr>
                <w:rFonts w:ascii="Times New Roman" w:hAnsi="Times New Roman" w:cs="Times New Roman"/>
                <w:sz w:val="24"/>
                <w:szCs w:val="24"/>
              </w:rPr>
              <w:t>M16.6</w:t>
            </w:r>
          </w:p>
        </w:tc>
        <w:tc>
          <w:tcPr>
            <w:tcW w:w="906" w:type="dxa"/>
          </w:tcPr>
          <w:p w14:paraId="74275577" w14:textId="33B8111D" w:rsidR="00FF58CF" w:rsidRPr="00096B24" w:rsidRDefault="00FF58CF" w:rsidP="00096B24">
            <w:pPr>
              <w:jc w:val="both"/>
              <w:rPr>
                <w:rFonts w:ascii="Times New Roman" w:hAnsi="Times New Roman" w:cs="Times New Roman"/>
                <w:sz w:val="24"/>
                <w:szCs w:val="24"/>
              </w:rPr>
            </w:pPr>
            <w:r w:rsidRPr="00096B24">
              <w:rPr>
                <w:rFonts w:ascii="Times New Roman" w:hAnsi="Times New Roman" w:cs="Times New Roman"/>
                <w:sz w:val="24"/>
                <w:szCs w:val="24"/>
              </w:rPr>
              <w:t>M16.7</w:t>
            </w:r>
          </w:p>
        </w:tc>
        <w:tc>
          <w:tcPr>
            <w:tcW w:w="907" w:type="dxa"/>
          </w:tcPr>
          <w:p w14:paraId="2406B71C" w14:textId="2B95E0C3" w:rsidR="00FF58CF" w:rsidRPr="00096B24" w:rsidRDefault="00FF58CF" w:rsidP="00096B24">
            <w:pPr>
              <w:jc w:val="both"/>
              <w:rPr>
                <w:rFonts w:ascii="Times New Roman" w:hAnsi="Times New Roman" w:cs="Times New Roman"/>
                <w:sz w:val="24"/>
                <w:szCs w:val="24"/>
              </w:rPr>
            </w:pPr>
            <w:r w:rsidRPr="00096B24">
              <w:rPr>
                <w:rFonts w:ascii="Times New Roman" w:hAnsi="Times New Roman" w:cs="Times New Roman"/>
                <w:sz w:val="24"/>
                <w:szCs w:val="24"/>
              </w:rPr>
              <w:t>M87.0</w:t>
            </w:r>
          </w:p>
        </w:tc>
        <w:tc>
          <w:tcPr>
            <w:tcW w:w="907" w:type="dxa"/>
          </w:tcPr>
          <w:p w14:paraId="30AB70D5" w14:textId="2584D29C" w:rsidR="00FF58CF" w:rsidRPr="00096B24" w:rsidRDefault="00FF58CF" w:rsidP="00096B24">
            <w:pPr>
              <w:jc w:val="both"/>
              <w:rPr>
                <w:rFonts w:ascii="Times New Roman" w:hAnsi="Times New Roman" w:cs="Times New Roman"/>
                <w:sz w:val="24"/>
                <w:szCs w:val="24"/>
              </w:rPr>
            </w:pPr>
            <w:r w:rsidRPr="00096B24">
              <w:rPr>
                <w:rFonts w:ascii="Times New Roman" w:hAnsi="Times New Roman" w:cs="Times New Roman"/>
                <w:sz w:val="24"/>
                <w:szCs w:val="24"/>
              </w:rPr>
              <w:t>M87.8</w:t>
            </w:r>
          </w:p>
        </w:tc>
      </w:tr>
      <w:tr w:rsidR="00FF58CF" w:rsidRPr="00096B24" w14:paraId="2EC8D92F" w14:textId="77777777" w:rsidTr="00FF58CF">
        <w:tc>
          <w:tcPr>
            <w:tcW w:w="906" w:type="dxa"/>
          </w:tcPr>
          <w:p w14:paraId="78015597" w14:textId="262DB4BC" w:rsidR="00FF58CF" w:rsidRPr="00096B24" w:rsidRDefault="00FF58CF" w:rsidP="00096B24">
            <w:pPr>
              <w:jc w:val="both"/>
              <w:rPr>
                <w:rFonts w:ascii="Times New Roman" w:hAnsi="Times New Roman" w:cs="Times New Roman"/>
                <w:sz w:val="24"/>
                <w:szCs w:val="24"/>
              </w:rPr>
            </w:pPr>
            <w:r w:rsidRPr="00096B24">
              <w:rPr>
                <w:rFonts w:ascii="Times New Roman" w:hAnsi="Times New Roman" w:cs="Times New Roman"/>
                <w:sz w:val="24"/>
                <w:szCs w:val="24"/>
              </w:rPr>
              <w:t>Juhtude arv</w:t>
            </w:r>
          </w:p>
        </w:tc>
        <w:tc>
          <w:tcPr>
            <w:tcW w:w="906" w:type="dxa"/>
          </w:tcPr>
          <w:p w14:paraId="663D7AA3" w14:textId="09E2792A" w:rsidR="00FF58CF" w:rsidRPr="00096B24" w:rsidRDefault="00FF58CF" w:rsidP="00096B24">
            <w:pPr>
              <w:jc w:val="center"/>
              <w:rPr>
                <w:rFonts w:ascii="Times New Roman" w:hAnsi="Times New Roman" w:cs="Times New Roman"/>
                <w:sz w:val="24"/>
                <w:szCs w:val="24"/>
              </w:rPr>
            </w:pPr>
            <w:r w:rsidRPr="00096B24">
              <w:rPr>
                <w:rFonts w:ascii="Times New Roman" w:hAnsi="Times New Roman" w:cs="Times New Roman"/>
                <w:sz w:val="24"/>
                <w:szCs w:val="24"/>
              </w:rPr>
              <w:t>34</w:t>
            </w:r>
          </w:p>
        </w:tc>
        <w:tc>
          <w:tcPr>
            <w:tcW w:w="906" w:type="dxa"/>
          </w:tcPr>
          <w:p w14:paraId="5F96B7EC" w14:textId="5B0A4907" w:rsidR="00FF58CF" w:rsidRPr="00096B24" w:rsidRDefault="00FF58CF" w:rsidP="00096B24">
            <w:pPr>
              <w:jc w:val="center"/>
              <w:rPr>
                <w:rFonts w:ascii="Times New Roman" w:hAnsi="Times New Roman" w:cs="Times New Roman"/>
                <w:sz w:val="24"/>
                <w:szCs w:val="24"/>
              </w:rPr>
            </w:pPr>
            <w:r w:rsidRPr="00096B24">
              <w:rPr>
                <w:rFonts w:ascii="Times New Roman" w:hAnsi="Times New Roman" w:cs="Times New Roman"/>
                <w:sz w:val="24"/>
                <w:szCs w:val="24"/>
              </w:rPr>
              <w:t>56</w:t>
            </w:r>
          </w:p>
        </w:tc>
        <w:tc>
          <w:tcPr>
            <w:tcW w:w="906" w:type="dxa"/>
          </w:tcPr>
          <w:p w14:paraId="341ACA7A" w14:textId="6E79ED6C" w:rsidR="00FF58CF" w:rsidRPr="00096B24" w:rsidRDefault="00FF58CF" w:rsidP="00096B24">
            <w:pPr>
              <w:jc w:val="center"/>
              <w:rPr>
                <w:rFonts w:ascii="Times New Roman" w:hAnsi="Times New Roman" w:cs="Times New Roman"/>
                <w:sz w:val="24"/>
                <w:szCs w:val="24"/>
              </w:rPr>
            </w:pPr>
            <w:r w:rsidRPr="00096B24">
              <w:rPr>
                <w:rFonts w:ascii="Times New Roman" w:hAnsi="Times New Roman" w:cs="Times New Roman"/>
                <w:sz w:val="24"/>
                <w:szCs w:val="24"/>
              </w:rPr>
              <w:t>2</w:t>
            </w:r>
          </w:p>
        </w:tc>
        <w:tc>
          <w:tcPr>
            <w:tcW w:w="906" w:type="dxa"/>
          </w:tcPr>
          <w:p w14:paraId="02D679D3" w14:textId="41016B30" w:rsidR="00FF58CF" w:rsidRPr="00096B24" w:rsidRDefault="00FF58CF" w:rsidP="00096B24">
            <w:pPr>
              <w:jc w:val="center"/>
              <w:rPr>
                <w:rFonts w:ascii="Times New Roman" w:hAnsi="Times New Roman" w:cs="Times New Roman"/>
                <w:sz w:val="24"/>
                <w:szCs w:val="24"/>
              </w:rPr>
            </w:pPr>
            <w:r w:rsidRPr="00096B24">
              <w:rPr>
                <w:rFonts w:ascii="Times New Roman" w:hAnsi="Times New Roman" w:cs="Times New Roman"/>
                <w:sz w:val="24"/>
                <w:szCs w:val="24"/>
              </w:rPr>
              <w:t>2</w:t>
            </w:r>
          </w:p>
        </w:tc>
        <w:tc>
          <w:tcPr>
            <w:tcW w:w="906" w:type="dxa"/>
          </w:tcPr>
          <w:p w14:paraId="790C3C69" w14:textId="4C7F0C23" w:rsidR="00FF58CF" w:rsidRPr="00096B24" w:rsidRDefault="00FF58CF" w:rsidP="00096B24">
            <w:pPr>
              <w:jc w:val="center"/>
              <w:rPr>
                <w:rFonts w:ascii="Times New Roman" w:hAnsi="Times New Roman" w:cs="Times New Roman"/>
                <w:sz w:val="24"/>
                <w:szCs w:val="24"/>
              </w:rPr>
            </w:pPr>
            <w:r w:rsidRPr="00096B24">
              <w:rPr>
                <w:rFonts w:ascii="Times New Roman" w:hAnsi="Times New Roman" w:cs="Times New Roman"/>
                <w:sz w:val="24"/>
                <w:szCs w:val="24"/>
              </w:rPr>
              <w:t>3</w:t>
            </w:r>
          </w:p>
        </w:tc>
        <w:tc>
          <w:tcPr>
            <w:tcW w:w="906" w:type="dxa"/>
          </w:tcPr>
          <w:p w14:paraId="65768127" w14:textId="0DE2AFCD" w:rsidR="00FF58CF" w:rsidRPr="00096B24" w:rsidRDefault="00FF58CF" w:rsidP="00096B24">
            <w:pPr>
              <w:jc w:val="center"/>
              <w:rPr>
                <w:rFonts w:ascii="Times New Roman" w:hAnsi="Times New Roman" w:cs="Times New Roman"/>
                <w:sz w:val="24"/>
                <w:szCs w:val="24"/>
              </w:rPr>
            </w:pPr>
            <w:r w:rsidRPr="00096B24">
              <w:rPr>
                <w:rFonts w:ascii="Times New Roman" w:hAnsi="Times New Roman" w:cs="Times New Roman"/>
                <w:sz w:val="24"/>
                <w:szCs w:val="24"/>
              </w:rPr>
              <w:t>1</w:t>
            </w:r>
          </w:p>
        </w:tc>
        <w:tc>
          <w:tcPr>
            <w:tcW w:w="906" w:type="dxa"/>
          </w:tcPr>
          <w:p w14:paraId="0E45B36D" w14:textId="21607E86" w:rsidR="00FF58CF" w:rsidRPr="00096B24" w:rsidRDefault="00FF58CF" w:rsidP="00096B24">
            <w:pPr>
              <w:jc w:val="center"/>
              <w:rPr>
                <w:rFonts w:ascii="Times New Roman" w:hAnsi="Times New Roman" w:cs="Times New Roman"/>
                <w:sz w:val="24"/>
                <w:szCs w:val="24"/>
              </w:rPr>
            </w:pPr>
            <w:r w:rsidRPr="00096B24">
              <w:rPr>
                <w:rFonts w:ascii="Times New Roman" w:hAnsi="Times New Roman" w:cs="Times New Roman"/>
                <w:sz w:val="24"/>
                <w:szCs w:val="24"/>
              </w:rPr>
              <w:t>13</w:t>
            </w:r>
          </w:p>
        </w:tc>
        <w:tc>
          <w:tcPr>
            <w:tcW w:w="907" w:type="dxa"/>
          </w:tcPr>
          <w:p w14:paraId="2301128C" w14:textId="108D15F4" w:rsidR="00FF58CF" w:rsidRPr="00096B24" w:rsidRDefault="00FF58CF" w:rsidP="00096B24">
            <w:pPr>
              <w:jc w:val="center"/>
              <w:rPr>
                <w:rFonts w:ascii="Times New Roman" w:hAnsi="Times New Roman" w:cs="Times New Roman"/>
                <w:sz w:val="24"/>
                <w:szCs w:val="24"/>
              </w:rPr>
            </w:pPr>
            <w:r w:rsidRPr="00096B24">
              <w:rPr>
                <w:rFonts w:ascii="Times New Roman" w:hAnsi="Times New Roman" w:cs="Times New Roman"/>
                <w:sz w:val="24"/>
                <w:szCs w:val="24"/>
              </w:rPr>
              <w:t>1</w:t>
            </w:r>
          </w:p>
        </w:tc>
        <w:tc>
          <w:tcPr>
            <w:tcW w:w="907" w:type="dxa"/>
          </w:tcPr>
          <w:p w14:paraId="7B31564E" w14:textId="427B5588" w:rsidR="00FF58CF" w:rsidRPr="00096B24" w:rsidRDefault="00FF58CF" w:rsidP="00096B24">
            <w:pPr>
              <w:jc w:val="center"/>
              <w:rPr>
                <w:rFonts w:ascii="Times New Roman" w:hAnsi="Times New Roman" w:cs="Times New Roman"/>
                <w:sz w:val="24"/>
                <w:szCs w:val="24"/>
              </w:rPr>
            </w:pPr>
            <w:r w:rsidRPr="00096B24">
              <w:rPr>
                <w:rFonts w:ascii="Times New Roman" w:hAnsi="Times New Roman" w:cs="Times New Roman"/>
                <w:sz w:val="24"/>
                <w:szCs w:val="24"/>
              </w:rPr>
              <w:t>1</w:t>
            </w:r>
          </w:p>
        </w:tc>
      </w:tr>
    </w:tbl>
    <w:p w14:paraId="2ABA3BEE" w14:textId="4599F459" w:rsidR="00FF58CF" w:rsidRPr="00096B24" w:rsidRDefault="00FF58CF" w:rsidP="00096B24">
      <w:pPr>
        <w:spacing w:line="240" w:lineRule="auto"/>
        <w:jc w:val="both"/>
        <w:rPr>
          <w:rFonts w:ascii="Times New Roman" w:hAnsi="Times New Roman" w:cs="Times New Roman"/>
          <w:sz w:val="24"/>
          <w:szCs w:val="24"/>
        </w:rPr>
      </w:pPr>
    </w:p>
    <w:p w14:paraId="76DF2E82" w14:textId="2CB1CD05" w:rsidR="009941C4" w:rsidRPr="00096B24" w:rsidRDefault="00EC3572" w:rsidP="00096B24">
      <w:pPr>
        <w:spacing w:line="240" w:lineRule="auto"/>
        <w:jc w:val="both"/>
        <w:rPr>
          <w:rFonts w:ascii="Times New Roman" w:hAnsi="Times New Roman" w:cs="Times New Roman"/>
          <w:sz w:val="24"/>
          <w:szCs w:val="24"/>
        </w:rPr>
      </w:pPr>
      <w:r w:rsidRPr="00096B24">
        <w:rPr>
          <w:rFonts w:ascii="Times New Roman" w:hAnsi="Times New Roman" w:cs="Times New Roman"/>
          <w:sz w:val="24"/>
          <w:szCs w:val="24"/>
        </w:rPr>
        <w:t>22</w:t>
      </w:r>
      <w:r w:rsidR="009941C4" w:rsidRPr="00096B24">
        <w:rPr>
          <w:rFonts w:ascii="Times New Roman" w:hAnsi="Times New Roman" w:cs="Times New Roman"/>
          <w:sz w:val="24"/>
          <w:szCs w:val="24"/>
        </w:rPr>
        <w:t xml:space="preserve"> juhul oli põhihaguseks märgitud diagnoos, mis erines patsiendil varasemalt samade kaebustega diagnoositud põhihaigusest (sh saatekirjal olevast). Põhihaiguseks märgitud diagnoosi muudatust ei olnud ühelgi juhul haigusloos selgitatud. </w:t>
      </w:r>
    </w:p>
    <w:p w14:paraId="2C74E04C" w14:textId="747C3665" w:rsidR="009D2EE2" w:rsidRPr="00096B24" w:rsidRDefault="009D2EE2" w:rsidP="00096B24">
      <w:pPr>
        <w:spacing w:line="240" w:lineRule="auto"/>
        <w:jc w:val="both"/>
        <w:rPr>
          <w:rFonts w:ascii="Times New Roman" w:hAnsi="Times New Roman" w:cs="Times New Roman"/>
          <w:color w:val="7030A0"/>
          <w:sz w:val="24"/>
          <w:szCs w:val="24"/>
        </w:rPr>
      </w:pPr>
      <w:r w:rsidRPr="00096B24">
        <w:rPr>
          <w:rFonts w:ascii="Times New Roman" w:hAnsi="Times New Roman" w:cs="Times New Roman"/>
          <w:color w:val="000000" w:themeColor="text1"/>
          <w:sz w:val="24"/>
          <w:szCs w:val="24"/>
        </w:rPr>
        <w:t xml:space="preserve">Juhime tähelepanu, et diagnooside M16.4 ja M16.5 puhul peab anamneesis esinema artroosi kujunemise/süvenemisega seostatav traumamehhanism ja diagnooside M16.6 ja 16.7 puhul artroosi kujunemist soodustav </w:t>
      </w:r>
      <w:proofErr w:type="spellStart"/>
      <w:r w:rsidRPr="00096B24">
        <w:rPr>
          <w:rFonts w:ascii="Times New Roman" w:hAnsi="Times New Roman" w:cs="Times New Roman"/>
          <w:color w:val="000000" w:themeColor="text1"/>
          <w:sz w:val="24"/>
          <w:szCs w:val="24"/>
        </w:rPr>
        <w:t>allaasetsev</w:t>
      </w:r>
      <w:proofErr w:type="spellEnd"/>
      <w:r w:rsidRPr="00096B24">
        <w:rPr>
          <w:rFonts w:ascii="Times New Roman" w:hAnsi="Times New Roman" w:cs="Times New Roman"/>
          <w:color w:val="000000" w:themeColor="text1"/>
          <w:sz w:val="24"/>
          <w:szCs w:val="24"/>
        </w:rPr>
        <w:t xml:space="preserve"> haigus.</w:t>
      </w:r>
    </w:p>
    <w:p w14:paraId="5C3FAF5C" w14:textId="77777777" w:rsidR="009D2EE2" w:rsidRPr="00096B24" w:rsidRDefault="009D2EE2" w:rsidP="00096B24">
      <w:pPr>
        <w:spacing w:line="240" w:lineRule="auto"/>
        <w:jc w:val="both"/>
        <w:rPr>
          <w:rFonts w:ascii="Times New Roman" w:hAnsi="Times New Roman" w:cs="Times New Roman"/>
          <w:color w:val="7030A0"/>
          <w:sz w:val="24"/>
          <w:szCs w:val="24"/>
        </w:rPr>
      </w:pPr>
    </w:p>
    <w:p w14:paraId="2176F393" w14:textId="6EF7AE70" w:rsidR="006F3360" w:rsidRPr="00096B24" w:rsidRDefault="00C1196B" w:rsidP="00096B24">
      <w:pPr>
        <w:jc w:val="both"/>
        <w:rPr>
          <w:rFonts w:ascii="Times New Roman" w:hAnsi="Times New Roman" w:cs="Times New Roman"/>
          <w:color w:val="70AD47" w:themeColor="accent6"/>
          <w:sz w:val="24"/>
          <w:szCs w:val="24"/>
        </w:rPr>
      </w:pPr>
      <w:r w:rsidRPr="00096B24">
        <w:rPr>
          <w:rFonts w:ascii="Times New Roman" w:hAnsi="Times New Roman" w:cs="Times New Roman"/>
          <w:sz w:val="24"/>
          <w:szCs w:val="24"/>
        </w:rPr>
        <w:lastRenderedPageBreak/>
        <w:t xml:space="preserve">Reieluukaela murru tagajärjel puusaliigese </w:t>
      </w:r>
      <w:proofErr w:type="spellStart"/>
      <w:r w:rsidRPr="00096B24">
        <w:rPr>
          <w:rFonts w:ascii="Times New Roman" w:hAnsi="Times New Roman" w:cs="Times New Roman"/>
          <w:sz w:val="24"/>
          <w:szCs w:val="24"/>
        </w:rPr>
        <w:t>endoproteesimise</w:t>
      </w:r>
      <w:proofErr w:type="spellEnd"/>
      <w:r w:rsidRPr="00096B24">
        <w:rPr>
          <w:rFonts w:ascii="Times New Roman" w:hAnsi="Times New Roman" w:cs="Times New Roman"/>
          <w:sz w:val="24"/>
          <w:szCs w:val="24"/>
        </w:rPr>
        <w:t xml:space="preserve"> tinginud haigusjuhtudes oli </w:t>
      </w:r>
      <w:r w:rsidRPr="00096B24">
        <w:rPr>
          <w:rFonts w:ascii="Times New Roman" w:hAnsi="Times New Roman" w:cs="Times New Roman"/>
          <w:b/>
          <w:bCs/>
          <w:sz w:val="24"/>
          <w:szCs w:val="24"/>
        </w:rPr>
        <w:t xml:space="preserve">põhihaiguseks </w:t>
      </w:r>
      <w:r w:rsidR="00EC3572" w:rsidRPr="00096B24">
        <w:rPr>
          <w:rFonts w:ascii="Times New Roman" w:hAnsi="Times New Roman" w:cs="Times New Roman"/>
          <w:sz w:val="24"/>
          <w:szCs w:val="24"/>
        </w:rPr>
        <w:t xml:space="preserve">8-l juhul märgitud </w:t>
      </w:r>
      <w:r w:rsidRPr="00096B24">
        <w:rPr>
          <w:rFonts w:ascii="Times New Roman" w:hAnsi="Times New Roman" w:cs="Times New Roman"/>
          <w:sz w:val="24"/>
          <w:szCs w:val="24"/>
        </w:rPr>
        <w:t>S72.0 „reieluukaela-murd“</w:t>
      </w:r>
      <w:r w:rsidR="00EC3572" w:rsidRPr="00096B24">
        <w:rPr>
          <w:rFonts w:ascii="Times New Roman" w:hAnsi="Times New Roman" w:cs="Times New Roman"/>
          <w:sz w:val="24"/>
          <w:szCs w:val="24"/>
        </w:rPr>
        <w:t xml:space="preserve"> ja 19-l juhul S72.00, millega täpsustati luumurru olekut („reieluukaela murd, kinnine“).</w:t>
      </w:r>
      <w:r w:rsidR="006F3360" w:rsidRPr="00096B24">
        <w:rPr>
          <w:rFonts w:ascii="Times New Roman" w:hAnsi="Times New Roman" w:cs="Times New Roman"/>
          <w:sz w:val="24"/>
          <w:szCs w:val="24"/>
        </w:rPr>
        <w:t xml:space="preserve"> Viiel juhul oli esmase diagnoosi määranud eelnev raviasutus, mistõttu oli käesolevalt määramine </w:t>
      </w:r>
      <w:proofErr w:type="spellStart"/>
      <w:r w:rsidR="006F3360" w:rsidRPr="00096B24">
        <w:rPr>
          <w:rFonts w:ascii="Times New Roman" w:hAnsi="Times New Roman" w:cs="Times New Roman"/>
          <w:sz w:val="24"/>
          <w:szCs w:val="24"/>
        </w:rPr>
        <w:t>esmashaigestumiseks</w:t>
      </w:r>
      <w:proofErr w:type="spellEnd"/>
      <w:r w:rsidR="006F3360" w:rsidRPr="00096B24">
        <w:rPr>
          <w:rFonts w:ascii="Times New Roman" w:hAnsi="Times New Roman" w:cs="Times New Roman"/>
          <w:sz w:val="24"/>
          <w:szCs w:val="24"/>
        </w:rPr>
        <w:t xml:space="preserve"> vale. Ülejäänud puhkudel oli reieluukaela-murru diagnoosimine õigesti </w:t>
      </w:r>
      <w:proofErr w:type="spellStart"/>
      <w:r w:rsidR="006F3360" w:rsidRPr="00096B24">
        <w:rPr>
          <w:rFonts w:ascii="Times New Roman" w:hAnsi="Times New Roman" w:cs="Times New Roman"/>
          <w:sz w:val="24"/>
          <w:szCs w:val="24"/>
        </w:rPr>
        <w:t>esmashaigestumiseks</w:t>
      </w:r>
      <w:proofErr w:type="spellEnd"/>
      <w:r w:rsidR="006F3360" w:rsidRPr="00096B24">
        <w:rPr>
          <w:rFonts w:ascii="Times New Roman" w:hAnsi="Times New Roman" w:cs="Times New Roman"/>
          <w:sz w:val="24"/>
          <w:szCs w:val="24"/>
        </w:rPr>
        <w:t xml:space="preserve"> märgitud. </w:t>
      </w:r>
    </w:p>
    <w:p w14:paraId="0FC106A1" w14:textId="56520696" w:rsidR="00C1196B" w:rsidRPr="00096B24" w:rsidRDefault="001A3912" w:rsidP="00096B24">
      <w:pPr>
        <w:spacing w:line="240" w:lineRule="auto"/>
        <w:jc w:val="both"/>
        <w:rPr>
          <w:rFonts w:ascii="Times New Roman" w:hAnsi="Times New Roman" w:cs="Times New Roman"/>
          <w:sz w:val="24"/>
          <w:szCs w:val="24"/>
        </w:rPr>
      </w:pPr>
      <w:r w:rsidRPr="00096B24">
        <w:rPr>
          <w:rFonts w:ascii="Times New Roman" w:hAnsi="Times New Roman" w:cs="Times New Roman"/>
          <w:b/>
          <w:bCs/>
          <w:sz w:val="24"/>
          <w:szCs w:val="24"/>
        </w:rPr>
        <w:t>Kaasuvate haiguste</w:t>
      </w:r>
      <w:r w:rsidRPr="00096B24">
        <w:rPr>
          <w:rFonts w:ascii="Times New Roman" w:hAnsi="Times New Roman" w:cs="Times New Roman"/>
          <w:sz w:val="24"/>
          <w:szCs w:val="24"/>
        </w:rPr>
        <w:t xml:space="preserve"> kodeerimise hindamisel lähtuti haigusloos kirjeldatust – kas ja mil määral kaasuv haigus mõjutas patsiendi käsitlust ning kas kaasuvat haigust kureeriti. Kaasuvate haiguste kodeerimise levinumad vead: </w:t>
      </w:r>
    </w:p>
    <w:p w14:paraId="23D37B5D" w14:textId="12374134" w:rsidR="001A3912" w:rsidRPr="00096B24" w:rsidRDefault="001A3912" w:rsidP="00096B24">
      <w:pPr>
        <w:pStyle w:val="ListParagraph"/>
        <w:numPr>
          <w:ilvl w:val="0"/>
          <w:numId w:val="19"/>
        </w:numPr>
        <w:suppressAutoHyphens w:val="0"/>
        <w:jc w:val="both"/>
      </w:pPr>
      <w:r w:rsidRPr="00096B24">
        <w:t>kaasuvate haiguste kodeerimine, mida ei kureeritud</w:t>
      </w:r>
      <w:r w:rsidR="005E3816" w:rsidRPr="00096B24">
        <w:t xml:space="preserve"> ja/või mille mõju patsiendi käsitlusele ei kajastu haig</w:t>
      </w:r>
      <w:r w:rsidR="009D2EE2" w:rsidRPr="00096B24">
        <w:t>u</w:t>
      </w:r>
      <w:r w:rsidR="005E3816" w:rsidRPr="00096B24">
        <w:t>sloo sissekannetes</w:t>
      </w:r>
      <w:r w:rsidRPr="00096B24">
        <w:t xml:space="preserve"> (</w:t>
      </w:r>
      <w:r w:rsidR="006A5D89" w:rsidRPr="00096B24">
        <w:t>19</w:t>
      </w:r>
      <w:r w:rsidRPr="00096B24">
        <w:t xml:space="preserve"> juhtu)</w:t>
      </w:r>
      <w:r w:rsidR="00EE2818" w:rsidRPr="00096B24">
        <w:t xml:space="preserve">. Sealhulgas </w:t>
      </w:r>
      <w:r w:rsidR="006A5D89" w:rsidRPr="00096B24">
        <w:t>2</w:t>
      </w:r>
      <w:r w:rsidR="00EE2818" w:rsidRPr="00096B24">
        <w:t xml:space="preserve"> juhul kaasuvaks kodeeritud lamatised</w:t>
      </w:r>
      <w:r w:rsidR="006A5D89" w:rsidRPr="00096B24">
        <w:t xml:space="preserve"> (L89)</w:t>
      </w:r>
      <w:r w:rsidR="00EE2818" w:rsidRPr="00096B24">
        <w:t>, sest haigusloos puudu</w:t>
      </w:r>
      <w:r w:rsidR="002C5018" w:rsidRPr="00096B24">
        <w:t>sid</w:t>
      </w:r>
      <w:r w:rsidR="00EE2818" w:rsidRPr="00096B24">
        <w:t xml:space="preserve"> seisundit kirjeldavad sissekanded. Pol</w:t>
      </w:r>
      <w:r w:rsidR="002C5018" w:rsidRPr="00096B24">
        <w:t>nud</w:t>
      </w:r>
      <w:r w:rsidR="00EE2818" w:rsidRPr="00096B24">
        <w:t xml:space="preserve"> võimalik tuvastada, kas lamatised olid haiglasse pöördudes juba kujunenud või tekkisid haiglas viibimise ajal, kus need paiknesid, mida tehti nende ennetamiseks või raviks. </w:t>
      </w:r>
    </w:p>
    <w:p w14:paraId="0502C832" w14:textId="75381A5D" w:rsidR="001A3912" w:rsidRPr="00096B24" w:rsidRDefault="001A3912" w:rsidP="00096B24">
      <w:pPr>
        <w:pStyle w:val="ListParagraph"/>
        <w:numPr>
          <w:ilvl w:val="0"/>
          <w:numId w:val="34"/>
        </w:numPr>
        <w:jc w:val="both"/>
      </w:pPr>
      <w:r w:rsidRPr="00096B24">
        <w:t xml:space="preserve">kaasuvate haiguste märkimine </w:t>
      </w:r>
      <w:proofErr w:type="spellStart"/>
      <w:r w:rsidRPr="00096B24">
        <w:t>esmashaigestumiseks</w:t>
      </w:r>
      <w:proofErr w:type="spellEnd"/>
      <w:r w:rsidRPr="00096B24">
        <w:t>, kuigi vastav haigus esine</w:t>
      </w:r>
      <w:r w:rsidR="002C5018" w:rsidRPr="00096B24">
        <w:t>s</w:t>
      </w:r>
      <w:r w:rsidRPr="00096B24">
        <w:t xml:space="preserve"> korduvalt patsiendi varasemates haiguslugudes (</w:t>
      </w:r>
      <w:r w:rsidR="002C5018" w:rsidRPr="00096B24">
        <w:t>7</w:t>
      </w:r>
      <w:r w:rsidRPr="00096B24">
        <w:t xml:space="preserve"> juhtu)</w:t>
      </w:r>
      <w:r w:rsidR="002C5018" w:rsidRPr="00096B24">
        <w:t xml:space="preserve">. </w:t>
      </w:r>
    </w:p>
    <w:p w14:paraId="4DF92210" w14:textId="005F4E1A" w:rsidR="001A3912" w:rsidRPr="00096B24" w:rsidRDefault="001A3912" w:rsidP="00096B24">
      <w:pPr>
        <w:pStyle w:val="ListParagraph"/>
        <w:numPr>
          <w:ilvl w:val="0"/>
          <w:numId w:val="34"/>
        </w:numPr>
        <w:jc w:val="both"/>
      </w:pPr>
      <w:r w:rsidRPr="00096B24">
        <w:t xml:space="preserve">tüsistusena esinenud </w:t>
      </w:r>
      <w:proofErr w:type="spellStart"/>
      <w:r w:rsidRPr="00096B24">
        <w:t>posthemoraagilise</w:t>
      </w:r>
      <w:proofErr w:type="spellEnd"/>
      <w:r w:rsidRPr="00096B24">
        <w:t xml:space="preserve"> aneemia (D62) kodeerimata jätmine (</w:t>
      </w:r>
      <w:r w:rsidR="002C5018" w:rsidRPr="00096B24">
        <w:t>4</w:t>
      </w:r>
      <w:r w:rsidRPr="00096B24">
        <w:t xml:space="preserve"> juhtu)</w:t>
      </w:r>
      <w:r w:rsidR="002C5018" w:rsidRPr="00096B24">
        <w:t>.</w:t>
      </w:r>
      <w:r w:rsidR="009D2EE2" w:rsidRPr="00096B24">
        <w:t xml:space="preserve"> Haiguslugude alusel tuvastati postoperatiivselt (valdavalt teisel või kolmandal päeval) patsiendil aneemia, mille kureerimiseks teostati erütrotsüütide massi ülekandeid. </w:t>
      </w:r>
    </w:p>
    <w:p w14:paraId="167C06C8" w14:textId="053A375E" w:rsidR="001A3912" w:rsidRPr="00096B24" w:rsidRDefault="001A3912" w:rsidP="00096B24">
      <w:pPr>
        <w:pStyle w:val="ListParagraph"/>
        <w:numPr>
          <w:ilvl w:val="0"/>
          <w:numId w:val="34"/>
        </w:numPr>
        <w:jc w:val="both"/>
      </w:pPr>
      <w:r w:rsidRPr="00096B24">
        <w:t xml:space="preserve">kokkusobimatute koodide kasutamine või </w:t>
      </w:r>
      <w:r w:rsidR="00EE2818" w:rsidRPr="00096B24">
        <w:t>ilmingut kirjeldavale koodile põhihaiguse koodi lisamata jätmine</w:t>
      </w:r>
      <w:r w:rsidRPr="00096B24">
        <w:t xml:space="preserve"> (</w:t>
      </w:r>
      <w:r w:rsidR="002C5018" w:rsidRPr="00096B24">
        <w:t>2</w:t>
      </w:r>
      <w:r w:rsidRPr="00096B24">
        <w:t xml:space="preserve"> juhtu). Näited</w:t>
      </w:r>
      <w:r w:rsidR="002C5018" w:rsidRPr="00096B24">
        <w:t>:</w:t>
      </w:r>
    </w:p>
    <w:p w14:paraId="238D9071" w14:textId="561F6665" w:rsidR="001A3912" w:rsidRPr="00096B24" w:rsidRDefault="002C5018" w:rsidP="00096B24">
      <w:pPr>
        <w:pStyle w:val="ListParagraph"/>
        <w:numPr>
          <w:ilvl w:val="1"/>
          <w:numId w:val="34"/>
        </w:numPr>
        <w:jc w:val="both"/>
      </w:pPr>
      <w:r w:rsidRPr="00096B24">
        <w:t>kodeeritud</w:t>
      </w:r>
      <w:r w:rsidR="001A3912" w:rsidRPr="00096B24">
        <w:t xml:space="preserve"> o</w:t>
      </w:r>
      <w:r w:rsidRPr="00096B24">
        <w:t>li</w:t>
      </w:r>
      <w:r w:rsidR="001A3912" w:rsidRPr="00096B24">
        <w:t xml:space="preserve"> I11.9 „südamekahjustusega hüpertooniatõbi ilma (</w:t>
      </w:r>
      <w:proofErr w:type="spellStart"/>
      <w:r w:rsidR="001A3912" w:rsidRPr="00096B24">
        <w:t>kongestiivse</w:t>
      </w:r>
      <w:proofErr w:type="spellEnd"/>
      <w:r w:rsidR="001A3912" w:rsidRPr="00096B24">
        <w:t>) südamepuudulikkuseta“ ja I50.9 „täpsustamata südamepuudulikkus“ viidates olukorrale, kus südamepuudulikkuse etioloogia ei ol</w:t>
      </w:r>
      <w:r w:rsidRPr="00096B24">
        <w:t>nud</w:t>
      </w:r>
      <w:r w:rsidR="001A3912" w:rsidRPr="00096B24">
        <w:t xml:space="preserve"> seotud hüpertooniatõvega. Kuna patsiendi varasemates haiguslugudes esine</w:t>
      </w:r>
      <w:r w:rsidRPr="00096B24">
        <w:t>s</w:t>
      </w:r>
      <w:r w:rsidR="001A3912" w:rsidRPr="00096B24">
        <w:t xml:space="preserve"> diagnoos I11.0 „südamekahjustusega hüpertooniatõbi (</w:t>
      </w:r>
      <w:proofErr w:type="spellStart"/>
      <w:r w:rsidR="001A3912" w:rsidRPr="00096B24">
        <w:t>kongestiivse</w:t>
      </w:r>
      <w:proofErr w:type="spellEnd"/>
      <w:r w:rsidR="001A3912" w:rsidRPr="00096B24">
        <w:t>) südamepuudulikkusega“ ja käesolevas haigusloos ei ol</w:t>
      </w:r>
      <w:r w:rsidRPr="00096B24">
        <w:t>nud</w:t>
      </w:r>
      <w:r w:rsidR="001A3912" w:rsidRPr="00096B24">
        <w:t xml:space="preserve"> põhjendatud diagnoosi muutmise vajadust, siis o</w:t>
      </w:r>
      <w:r w:rsidRPr="00096B24">
        <w:t>li</w:t>
      </w:r>
      <w:r w:rsidR="001A3912" w:rsidRPr="00096B24">
        <w:t xml:space="preserve"> I11.9 ja I50.9 kasutamine I11.0 asemel vale.</w:t>
      </w:r>
    </w:p>
    <w:p w14:paraId="0C2EB036" w14:textId="081281C2" w:rsidR="002C5018" w:rsidRPr="00096B24" w:rsidRDefault="00EE2818" w:rsidP="00096B24">
      <w:pPr>
        <w:pStyle w:val="ListParagraph"/>
        <w:numPr>
          <w:ilvl w:val="1"/>
          <w:numId w:val="34"/>
        </w:numPr>
        <w:jc w:val="both"/>
      </w:pPr>
      <w:r w:rsidRPr="00096B24">
        <w:t>kasutatud o</w:t>
      </w:r>
      <w:r w:rsidR="002C5018" w:rsidRPr="00096B24">
        <w:t>li</w:t>
      </w:r>
      <w:r w:rsidRPr="00096B24">
        <w:t xml:space="preserve"> nii I11.0 kui ka I11.9 diagnoosi. Sõltuvalt südamepuudulikkuse olemasolust või puudumisest on õige kasutada vaid ühte. </w:t>
      </w:r>
    </w:p>
    <w:p w14:paraId="3FF29042" w14:textId="12CD25E3" w:rsidR="00FA1D6F" w:rsidRPr="00096B24" w:rsidRDefault="00EE2818" w:rsidP="00096B24">
      <w:pPr>
        <w:pStyle w:val="ListParagraph"/>
        <w:numPr>
          <w:ilvl w:val="1"/>
          <w:numId w:val="34"/>
        </w:numPr>
        <w:jc w:val="both"/>
      </w:pPr>
      <w:r w:rsidRPr="00096B24">
        <w:t xml:space="preserve">kasutatud </w:t>
      </w:r>
      <w:r w:rsidR="002C5018" w:rsidRPr="00096B24">
        <w:t xml:space="preserve">oli </w:t>
      </w:r>
      <w:r w:rsidRPr="00096B24">
        <w:t xml:space="preserve">G46.3 diagnoosi, mis on lisakood ilmingu kirjeldamiseks ja selle juurde peab kuuluma põhihaiguse diagnoos (I60-I66).  </w:t>
      </w:r>
    </w:p>
    <w:p w14:paraId="5965C7E0" w14:textId="5FB1F865" w:rsidR="00EE2818" w:rsidRPr="00096B24" w:rsidRDefault="00EE2818" w:rsidP="00096B24">
      <w:pPr>
        <w:pStyle w:val="ListParagraph"/>
        <w:numPr>
          <w:ilvl w:val="0"/>
          <w:numId w:val="34"/>
        </w:numPr>
        <w:jc w:val="both"/>
      </w:pPr>
      <w:r w:rsidRPr="00096B24">
        <w:t>Uue haiguse diagnoosimine, mida pole põhjendatud (</w:t>
      </w:r>
      <w:r w:rsidR="002C5018" w:rsidRPr="00096B24">
        <w:t>2</w:t>
      </w:r>
      <w:r w:rsidRPr="00096B24">
        <w:t xml:space="preserve"> juhtu)</w:t>
      </w:r>
      <w:r w:rsidR="009D2EE2" w:rsidRPr="00096B24">
        <w:t xml:space="preserve">. Näited: </w:t>
      </w:r>
    </w:p>
    <w:p w14:paraId="34C56758" w14:textId="2840C3DE" w:rsidR="005E3816" w:rsidRPr="00096B24" w:rsidRDefault="009D2EE2" w:rsidP="00096B24">
      <w:pPr>
        <w:pStyle w:val="ListParagraph"/>
        <w:numPr>
          <w:ilvl w:val="1"/>
          <w:numId w:val="34"/>
        </w:numPr>
        <w:jc w:val="both"/>
      </w:pPr>
      <w:r w:rsidRPr="00096B24">
        <w:t>kodeeritud</w:t>
      </w:r>
      <w:r w:rsidR="00EE2818" w:rsidRPr="00096B24">
        <w:t xml:space="preserve"> F41.0</w:t>
      </w:r>
      <w:r w:rsidRPr="00096B24">
        <w:t>. H</w:t>
      </w:r>
      <w:r w:rsidR="00EE2818" w:rsidRPr="00096B24">
        <w:t>aigusloo sissekannetest ei selgu</w:t>
      </w:r>
      <w:r w:rsidRPr="00096B24">
        <w:t>nud</w:t>
      </w:r>
      <w:r w:rsidR="00EE2818" w:rsidRPr="00096B24">
        <w:t>, kuidas diagnoosini jõuti. O</w:t>
      </w:r>
      <w:r w:rsidR="002C5018" w:rsidRPr="00096B24">
        <w:t>li</w:t>
      </w:r>
      <w:r w:rsidR="00EE2818" w:rsidRPr="00096B24">
        <w:t xml:space="preserve"> küll sissekanne, kus </w:t>
      </w:r>
      <w:r w:rsidR="002C5018" w:rsidRPr="00096B24">
        <w:t xml:space="preserve">kirjeldati </w:t>
      </w:r>
      <w:r w:rsidR="00EE2818" w:rsidRPr="00096B24">
        <w:t>patsiendil esinenud segasusseisund</w:t>
      </w:r>
      <w:r w:rsidRPr="00096B24">
        <w:t xml:space="preserve"> postoperatiivselt, kuid s</w:t>
      </w:r>
      <w:r w:rsidR="002C5018" w:rsidRPr="00096B24">
        <w:t xml:space="preserve">ee ei ole aga piisav </w:t>
      </w:r>
      <w:r w:rsidR="00EE2818" w:rsidRPr="00096B24">
        <w:t>paanikahäire esmakordseks diagnoosimiseks.</w:t>
      </w:r>
      <w:r w:rsidRPr="00096B24">
        <w:t xml:space="preserve"> </w:t>
      </w:r>
    </w:p>
    <w:p w14:paraId="0E052681" w14:textId="64B460DA" w:rsidR="005E3816" w:rsidRPr="00096B24" w:rsidRDefault="005E3816" w:rsidP="00096B24">
      <w:pPr>
        <w:pStyle w:val="ListParagraph"/>
        <w:numPr>
          <w:ilvl w:val="1"/>
          <w:numId w:val="34"/>
        </w:numPr>
        <w:jc w:val="both"/>
      </w:pPr>
      <w:r w:rsidRPr="00096B24">
        <w:t>lisatud o</w:t>
      </w:r>
      <w:r w:rsidR="002C5018" w:rsidRPr="00096B24">
        <w:t>li</w:t>
      </w:r>
      <w:r w:rsidRPr="00096B24">
        <w:t xml:space="preserve"> I11.9 </w:t>
      </w:r>
      <w:proofErr w:type="spellStart"/>
      <w:r w:rsidRPr="00096B24">
        <w:t>esmashaigestumine</w:t>
      </w:r>
      <w:proofErr w:type="spellEnd"/>
      <w:r w:rsidRPr="00096B24">
        <w:t>, mis haigusloo päevikukannete põhjal o</w:t>
      </w:r>
      <w:r w:rsidR="009D2EE2" w:rsidRPr="00096B24">
        <w:t>li</w:t>
      </w:r>
      <w:r w:rsidRPr="00096B24">
        <w:t xml:space="preserve"> põhjendatud ja õige, kuid arutluskäiku ei ol</w:t>
      </w:r>
      <w:r w:rsidR="009D2EE2" w:rsidRPr="00096B24">
        <w:t>nud</w:t>
      </w:r>
      <w:r w:rsidRPr="00096B24">
        <w:t xml:space="preserve"> lisatud </w:t>
      </w:r>
      <w:proofErr w:type="spellStart"/>
      <w:r w:rsidRPr="00096B24">
        <w:t>epikriisi</w:t>
      </w:r>
      <w:proofErr w:type="spellEnd"/>
      <w:r w:rsidRPr="00096B24">
        <w:t>.</w:t>
      </w:r>
    </w:p>
    <w:p w14:paraId="4481CCB1" w14:textId="79BD7BCF" w:rsidR="005E3816" w:rsidRPr="00096B24" w:rsidRDefault="005E3816" w:rsidP="00096B24">
      <w:pPr>
        <w:pStyle w:val="ListParagraph"/>
        <w:numPr>
          <w:ilvl w:val="0"/>
          <w:numId w:val="34"/>
        </w:numPr>
        <w:jc w:val="both"/>
      </w:pPr>
      <w:r w:rsidRPr="00096B24">
        <w:t>Tuvastatud kaasuvate haiguste kirjeldamine, kuid kodeerimata jätmine (</w:t>
      </w:r>
      <w:r w:rsidR="002C5018" w:rsidRPr="00096B24">
        <w:t>2</w:t>
      </w:r>
      <w:r w:rsidRPr="00096B24">
        <w:t xml:space="preserve"> juhtu). Näited: </w:t>
      </w:r>
    </w:p>
    <w:p w14:paraId="615E2E2B" w14:textId="3576F91B" w:rsidR="005E3816" w:rsidRPr="00096B24" w:rsidRDefault="005E3816" w:rsidP="00096B24">
      <w:pPr>
        <w:pStyle w:val="ListParagraph"/>
        <w:numPr>
          <w:ilvl w:val="1"/>
          <w:numId w:val="34"/>
        </w:numPr>
        <w:jc w:val="both"/>
      </w:pPr>
      <w:r w:rsidRPr="00096B24">
        <w:t>puudu o</w:t>
      </w:r>
      <w:r w:rsidR="002C5018" w:rsidRPr="00096B24">
        <w:t>li</w:t>
      </w:r>
      <w:r w:rsidRPr="00096B24">
        <w:t xml:space="preserve"> J81, sest patsiendile teostatud röntgenülesvõttel tuvastati kopsupais ja selle alusel ordineeriti ravi.</w:t>
      </w:r>
    </w:p>
    <w:p w14:paraId="2F637A2F" w14:textId="5CF76EF6" w:rsidR="005E3816" w:rsidRPr="00096B24" w:rsidRDefault="005E3816" w:rsidP="00096B24">
      <w:pPr>
        <w:pStyle w:val="ListParagraph"/>
        <w:numPr>
          <w:ilvl w:val="1"/>
          <w:numId w:val="34"/>
        </w:numPr>
        <w:jc w:val="both"/>
      </w:pPr>
      <w:r w:rsidRPr="00096B24">
        <w:t xml:space="preserve">intensiivravi lehele </w:t>
      </w:r>
      <w:r w:rsidR="002C5018" w:rsidRPr="00096B24">
        <w:t xml:space="preserve">oli </w:t>
      </w:r>
      <w:r w:rsidRPr="00096B24">
        <w:t xml:space="preserve">märgitud tervishoiutöötajatele informatsiooniks patsiendi kohta „ärevushäire“. </w:t>
      </w:r>
      <w:r w:rsidR="00A637D1" w:rsidRPr="00096B24">
        <w:t>D</w:t>
      </w:r>
      <w:r w:rsidRPr="00096B24">
        <w:t>iagnoosi (F41.x) ei ol</w:t>
      </w:r>
      <w:r w:rsidR="002C5018" w:rsidRPr="00096B24">
        <w:t>nud</w:t>
      </w:r>
      <w:r w:rsidRPr="00096B24">
        <w:t xml:space="preserve"> ravidokumentidesse lisatud ega </w:t>
      </w:r>
      <w:r w:rsidRPr="00096B24">
        <w:lastRenderedPageBreak/>
        <w:t xml:space="preserve">selle olemust täpsustatud. </w:t>
      </w:r>
      <w:r w:rsidR="00A637D1" w:rsidRPr="00096B24">
        <w:t xml:space="preserve">Vastavat diagnoosi ei tuvastatud ka patsiendi varasematelt raviarvetelt. </w:t>
      </w:r>
    </w:p>
    <w:p w14:paraId="393C37FF" w14:textId="791647B6" w:rsidR="005E3816" w:rsidRPr="00096B24" w:rsidRDefault="002C5018" w:rsidP="00096B24">
      <w:pPr>
        <w:pStyle w:val="ListParagraph"/>
        <w:numPr>
          <w:ilvl w:val="1"/>
          <w:numId w:val="34"/>
        </w:numPr>
        <w:jc w:val="both"/>
      </w:pPr>
      <w:r w:rsidRPr="00096B24">
        <w:t>h</w:t>
      </w:r>
      <w:r w:rsidR="006A5D89" w:rsidRPr="00096B24">
        <w:t>aigusloo sissekannete alusel o</w:t>
      </w:r>
      <w:r w:rsidRPr="00096B24">
        <w:t>li</w:t>
      </w:r>
      <w:r w:rsidR="006A5D89" w:rsidRPr="00096B24">
        <w:t xml:space="preserve"> patsiendil raskusi oma olukorra mõistmisega, keskendumishäired ja esine</w:t>
      </w:r>
      <w:r w:rsidRPr="00096B24">
        <w:t>s</w:t>
      </w:r>
      <w:r w:rsidR="006A5D89" w:rsidRPr="00096B24">
        <w:t xml:space="preserve"> desorientatsioon, mis pärs</w:t>
      </w:r>
      <w:r w:rsidRPr="00096B24">
        <w:t>sisid</w:t>
      </w:r>
      <w:r w:rsidR="006A5D89" w:rsidRPr="00096B24">
        <w:t xml:space="preserve"> füsioteraapias osalemist. </w:t>
      </w:r>
      <w:r w:rsidRPr="00096B24">
        <w:t>Umbes</w:t>
      </w:r>
      <w:r w:rsidR="006A5D89" w:rsidRPr="00096B24">
        <w:t xml:space="preserve"> 1 kuu varasemalt</w:t>
      </w:r>
      <w:r w:rsidRPr="00096B24">
        <w:t xml:space="preserve"> on psühhiaatri poolt diagnoositud F06.0, käesolevalt ei olnud seda kaasuva haigusena </w:t>
      </w:r>
      <w:r w:rsidR="00A637D1" w:rsidRPr="00096B24">
        <w:t>kodeeritud</w:t>
      </w:r>
      <w:r w:rsidRPr="00096B24">
        <w:t xml:space="preserve">. </w:t>
      </w:r>
    </w:p>
    <w:p w14:paraId="3AC436BA" w14:textId="358278E8" w:rsidR="006A5D89" w:rsidRPr="00096B24" w:rsidRDefault="002C5018" w:rsidP="00096B24">
      <w:pPr>
        <w:pStyle w:val="ListParagraph"/>
        <w:numPr>
          <w:ilvl w:val="1"/>
          <w:numId w:val="34"/>
        </w:numPr>
        <w:jc w:val="both"/>
      </w:pPr>
      <w:r w:rsidRPr="00096B24">
        <w:t>h</w:t>
      </w:r>
      <w:r w:rsidR="006A5D89" w:rsidRPr="00096B24">
        <w:t xml:space="preserve">aigusloo sissekannetes </w:t>
      </w:r>
      <w:r w:rsidRPr="00096B24">
        <w:t xml:space="preserve">oli </w:t>
      </w:r>
      <w:r w:rsidR="006A5D89" w:rsidRPr="00096B24">
        <w:t xml:space="preserve">dokumenteeritud patsiendi kaebused ja </w:t>
      </w:r>
      <w:proofErr w:type="spellStart"/>
      <w:r w:rsidR="006A5D89" w:rsidRPr="00096B24">
        <w:t>vertiigo</w:t>
      </w:r>
      <w:proofErr w:type="spellEnd"/>
      <w:r w:rsidR="006A5D89" w:rsidRPr="00096B24">
        <w:t xml:space="preserve"> mõju füsioteraapias osalemisele.</w:t>
      </w:r>
      <w:r w:rsidRPr="00096B24">
        <w:t xml:space="preserve"> R42 ei olnud kaasuva haigusena kodeeritud. </w:t>
      </w:r>
    </w:p>
    <w:p w14:paraId="21A6D59E" w14:textId="1D6ED363" w:rsidR="00EE2818" w:rsidRPr="00096B24" w:rsidRDefault="00EE2818" w:rsidP="00096B24">
      <w:pPr>
        <w:jc w:val="both"/>
        <w:rPr>
          <w:rFonts w:ascii="Times New Roman" w:hAnsi="Times New Roman" w:cs="Times New Roman"/>
          <w:sz w:val="24"/>
          <w:szCs w:val="24"/>
        </w:rPr>
      </w:pPr>
    </w:p>
    <w:p w14:paraId="4C2C5D4A" w14:textId="69653704" w:rsidR="00FA1D6F" w:rsidRPr="00096B24" w:rsidRDefault="00EE2818" w:rsidP="00096B24">
      <w:pPr>
        <w:jc w:val="both"/>
        <w:rPr>
          <w:rFonts w:ascii="Times New Roman" w:hAnsi="Times New Roman" w:cs="Times New Roman"/>
          <w:color w:val="7030A0"/>
          <w:sz w:val="24"/>
          <w:szCs w:val="24"/>
        </w:rPr>
      </w:pPr>
      <w:r w:rsidRPr="00096B24">
        <w:rPr>
          <w:rFonts w:ascii="Times New Roman" w:hAnsi="Times New Roman" w:cs="Times New Roman"/>
          <w:sz w:val="24"/>
          <w:szCs w:val="24"/>
        </w:rPr>
        <w:t xml:space="preserve">Kahel juhul mõjutas kaasuva </w:t>
      </w:r>
      <w:r w:rsidR="00EB3D28" w:rsidRPr="00096B24">
        <w:rPr>
          <w:rFonts w:ascii="Times New Roman" w:hAnsi="Times New Roman" w:cs="Times New Roman"/>
          <w:sz w:val="24"/>
          <w:szCs w:val="24"/>
        </w:rPr>
        <w:t>haiguse kodeering</w:t>
      </w:r>
      <w:r w:rsidRPr="00096B24">
        <w:rPr>
          <w:rFonts w:ascii="Times New Roman" w:hAnsi="Times New Roman" w:cs="Times New Roman"/>
          <w:sz w:val="24"/>
          <w:szCs w:val="24"/>
        </w:rPr>
        <w:t>u eksimus</w:t>
      </w:r>
      <w:r w:rsidR="00EB3D28" w:rsidRPr="00096B24">
        <w:rPr>
          <w:rFonts w:ascii="Times New Roman" w:hAnsi="Times New Roman" w:cs="Times New Roman"/>
          <w:sz w:val="24"/>
          <w:szCs w:val="24"/>
        </w:rPr>
        <w:t xml:space="preserve"> raviarve DRG-</w:t>
      </w:r>
      <w:proofErr w:type="spellStart"/>
      <w:r w:rsidR="00EB3D28" w:rsidRPr="00096B24">
        <w:rPr>
          <w:rFonts w:ascii="Times New Roman" w:hAnsi="Times New Roman" w:cs="Times New Roman"/>
          <w:sz w:val="24"/>
          <w:szCs w:val="24"/>
        </w:rPr>
        <w:t>sse</w:t>
      </w:r>
      <w:proofErr w:type="spellEnd"/>
      <w:r w:rsidR="00EB3D28" w:rsidRPr="00096B24">
        <w:rPr>
          <w:rFonts w:ascii="Times New Roman" w:hAnsi="Times New Roman" w:cs="Times New Roman"/>
          <w:sz w:val="24"/>
          <w:szCs w:val="24"/>
        </w:rPr>
        <w:t xml:space="preserve"> grupeerimist</w:t>
      </w:r>
      <w:r w:rsidRPr="00096B24">
        <w:rPr>
          <w:rFonts w:ascii="Times New Roman" w:hAnsi="Times New Roman" w:cs="Times New Roman"/>
          <w:sz w:val="24"/>
          <w:szCs w:val="24"/>
        </w:rPr>
        <w:t xml:space="preserve">. </w:t>
      </w:r>
      <w:r w:rsidR="00EB3D28" w:rsidRPr="00096B24">
        <w:rPr>
          <w:rFonts w:ascii="Times New Roman" w:hAnsi="Times New Roman" w:cs="Times New Roman"/>
          <w:sz w:val="24"/>
          <w:szCs w:val="24"/>
        </w:rPr>
        <w:t xml:space="preserve"> </w:t>
      </w:r>
    </w:p>
    <w:p w14:paraId="57B5932F" w14:textId="5FE73CD5" w:rsidR="00CF52DF" w:rsidRPr="00096B24" w:rsidRDefault="00CF52DF" w:rsidP="00096B24">
      <w:pPr>
        <w:pStyle w:val="Heading1"/>
        <w:jc w:val="both"/>
        <w:rPr>
          <w:rStyle w:val="Heading1Char"/>
          <w:rFonts w:eastAsiaTheme="minorHAnsi" w:cs="Times New Roman"/>
          <w:b/>
          <w:szCs w:val="24"/>
        </w:rPr>
      </w:pPr>
      <w:bookmarkStart w:id="13" w:name="_Toc75527265"/>
      <w:r w:rsidRPr="00096B24">
        <w:rPr>
          <w:rStyle w:val="Heading1Char"/>
          <w:rFonts w:eastAsiaTheme="minorHAnsi" w:cs="Times New Roman"/>
          <w:b/>
          <w:szCs w:val="24"/>
        </w:rPr>
        <w:t>4.</w:t>
      </w:r>
      <w:r w:rsidR="006F3360" w:rsidRPr="00096B24">
        <w:rPr>
          <w:rStyle w:val="Heading1Char"/>
          <w:rFonts w:eastAsiaTheme="minorHAnsi" w:cs="Times New Roman"/>
          <w:b/>
          <w:szCs w:val="24"/>
        </w:rPr>
        <w:t>2</w:t>
      </w:r>
      <w:r w:rsidRPr="00096B24">
        <w:rPr>
          <w:rStyle w:val="Heading1Char"/>
          <w:rFonts w:eastAsiaTheme="minorHAnsi" w:cs="Times New Roman"/>
          <w:b/>
          <w:szCs w:val="24"/>
        </w:rPr>
        <w:t>.</w:t>
      </w:r>
      <w:r w:rsidR="006F3360" w:rsidRPr="00096B24">
        <w:rPr>
          <w:rStyle w:val="Heading1Char"/>
          <w:rFonts w:eastAsiaTheme="minorHAnsi" w:cs="Times New Roman"/>
          <w:b/>
          <w:szCs w:val="24"/>
        </w:rPr>
        <w:t>2</w:t>
      </w:r>
      <w:r w:rsidRPr="00096B24">
        <w:rPr>
          <w:rStyle w:val="Heading1Char"/>
          <w:rFonts w:eastAsiaTheme="minorHAnsi" w:cs="Times New Roman"/>
          <w:b/>
          <w:szCs w:val="24"/>
        </w:rPr>
        <w:t xml:space="preserve">     </w:t>
      </w:r>
      <w:bookmarkStart w:id="14" w:name="_Hlk42725634"/>
      <w:bookmarkEnd w:id="13"/>
      <w:r w:rsidR="005169FF" w:rsidRPr="00096B24">
        <w:rPr>
          <w:rStyle w:val="Heading1Char"/>
          <w:rFonts w:eastAsiaTheme="minorHAnsi" w:cs="Times New Roman"/>
          <w:b/>
          <w:szCs w:val="24"/>
        </w:rPr>
        <w:t xml:space="preserve">Paigaldatud </w:t>
      </w:r>
      <w:proofErr w:type="spellStart"/>
      <w:r w:rsidR="005169FF" w:rsidRPr="00096B24">
        <w:rPr>
          <w:rStyle w:val="Heading1Char"/>
          <w:rFonts w:eastAsiaTheme="minorHAnsi" w:cs="Times New Roman"/>
          <w:b/>
          <w:szCs w:val="24"/>
        </w:rPr>
        <w:t>endoproteesi</w:t>
      </w:r>
      <w:proofErr w:type="spellEnd"/>
      <w:r w:rsidR="005169FF" w:rsidRPr="00096B24">
        <w:rPr>
          <w:rStyle w:val="Heading1Char"/>
          <w:rFonts w:eastAsiaTheme="minorHAnsi" w:cs="Times New Roman"/>
          <w:b/>
          <w:szCs w:val="24"/>
        </w:rPr>
        <w:t xml:space="preserve"> </w:t>
      </w:r>
      <w:r w:rsidR="00A14A44" w:rsidRPr="00096B24">
        <w:rPr>
          <w:rStyle w:val="Heading1Char"/>
          <w:rFonts w:eastAsiaTheme="minorHAnsi" w:cs="Times New Roman"/>
          <w:b/>
          <w:szCs w:val="24"/>
        </w:rPr>
        <w:t xml:space="preserve">ja </w:t>
      </w:r>
      <w:proofErr w:type="spellStart"/>
      <w:r w:rsidR="00A14A44" w:rsidRPr="00096B24">
        <w:rPr>
          <w:rStyle w:val="Heading1Char"/>
          <w:rFonts w:eastAsiaTheme="minorHAnsi" w:cs="Times New Roman"/>
          <w:b/>
          <w:szCs w:val="24"/>
        </w:rPr>
        <w:t>järel</w:t>
      </w:r>
      <w:r w:rsidR="00096B24">
        <w:rPr>
          <w:rStyle w:val="Heading1Char"/>
          <w:rFonts w:eastAsiaTheme="minorHAnsi" w:cs="Times New Roman"/>
          <w:b/>
          <w:szCs w:val="24"/>
        </w:rPr>
        <w:t>hoolduse</w:t>
      </w:r>
      <w:proofErr w:type="spellEnd"/>
      <w:r w:rsidR="00A14A44" w:rsidRPr="00096B24">
        <w:rPr>
          <w:rStyle w:val="Heading1Char"/>
          <w:rFonts w:eastAsiaTheme="minorHAnsi" w:cs="Times New Roman"/>
          <w:b/>
          <w:szCs w:val="24"/>
        </w:rPr>
        <w:t xml:space="preserve"> </w:t>
      </w:r>
      <w:r w:rsidR="005169FF" w:rsidRPr="00096B24">
        <w:rPr>
          <w:rStyle w:val="Heading1Char"/>
          <w:rFonts w:eastAsiaTheme="minorHAnsi" w:cs="Times New Roman"/>
          <w:b/>
          <w:szCs w:val="24"/>
        </w:rPr>
        <w:t>kodeerimine</w:t>
      </w:r>
    </w:p>
    <w:p w14:paraId="76053478" w14:textId="77901262" w:rsidR="00F33B54" w:rsidRPr="00096B24" w:rsidRDefault="00F33B54" w:rsidP="00096B24">
      <w:pPr>
        <w:jc w:val="both"/>
        <w:rPr>
          <w:rFonts w:ascii="Times New Roman" w:hAnsi="Times New Roman" w:cs="Times New Roman"/>
          <w:sz w:val="24"/>
          <w:szCs w:val="24"/>
        </w:rPr>
      </w:pPr>
      <w:r w:rsidRPr="00096B24">
        <w:rPr>
          <w:rFonts w:ascii="Times New Roman" w:hAnsi="Times New Roman" w:cs="Times New Roman"/>
          <w:sz w:val="24"/>
          <w:szCs w:val="24"/>
        </w:rPr>
        <w:t xml:space="preserve">22 haigusjuhus oli kaasuvana kodeeritud ortopeediliste liigesimplantaatide olemasolu (Z96.6). </w:t>
      </w:r>
      <w:r w:rsidR="00096B24" w:rsidRPr="00096B24">
        <w:rPr>
          <w:rFonts w:ascii="Times New Roman" w:hAnsi="Times New Roman" w:cs="Times New Roman"/>
          <w:sz w:val="24"/>
          <w:szCs w:val="24"/>
        </w:rPr>
        <w:t xml:space="preserve">19 </w:t>
      </w:r>
      <w:r w:rsidR="000C11F3" w:rsidRPr="00096B24">
        <w:rPr>
          <w:rFonts w:ascii="Times New Roman" w:hAnsi="Times New Roman" w:cs="Times New Roman"/>
          <w:sz w:val="24"/>
          <w:szCs w:val="24"/>
        </w:rPr>
        <w:t>juhul oli kajastatud patsiendil varasemalt</w:t>
      </w:r>
      <w:r w:rsidR="00096B24" w:rsidRPr="00096B24">
        <w:rPr>
          <w:rFonts w:ascii="Times New Roman" w:hAnsi="Times New Roman" w:cs="Times New Roman"/>
          <w:sz w:val="24"/>
          <w:szCs w:val="24"/>
        </w:rPr>
        <w:t xml:space="preserve"> (enam kui 1 aasta)</w:t>
      </w:r>
      <w:r w:rsidR="000C11F3" w:rsidRPr="00096B24">
        <w:rPr>
          <w:rFonts w:ascii="Times New Roman" w:hAnsi="Times New Roman" w:cs="Times New Roman"/>
          <w:sz w:val="24"/>
          <w:szCs w:val="24"/>
        </w:rPr>
        <w:t xml:space="preserve"> paigaldatud mõne muu liigese implantaati</w:t>
      </w:r>
      <w:r w:rsidR="00096B24" w:rsidRPr="00096B24">
        <w:rPr>
          <w:rFonts w:ascii="Times New Roman" w:hAnsi="Times New Roman" w:cs="Times New Roman"/>
          <w:sz w:val="24"/>
          <w:szCs w:val="24"/>
        </w:rPr>
        <w:t xml:space="preserve"> ja märgitud see õigesti korduvhaigestumiseks. Kolmel juhul oli hinnatud raviarvel Z96.6-ga tähistatud konkreetse haigusjuhu käigus paigaldatud </w:t>
      </w:r>
      <w:proofErr w:type="spellStart"/>
      <w:r w:rsidR="00096B24" w:rsidRPr="00096B24">
        <w:rPr>
          <w:rFonts w:ascii="Times New Roman" w:hAnsi="Times New Roman" w:cs="Times New Roman"/>
          <w:sz w:val="24"/>
          <w:szCs w:val="24"/>
        </w:rPr>
        <w:t>endoproteesi</w:t>
      </w:r>
      <w:proofErr w:type="spellEnd"/>
      <w:r w:rsidR="00096B24" w:rsidRPr="00096B24">
        <w:rPr>
          <w:rFonts w:ascii="Times New Roman" w:hAnsi="Times New Roman" w:cs="Times New Roman"/>
          <w:sz w:val="24"/>
          <w:szCs w:val="24"/>
        </w:rPr>
        <w:t xml:space="preserve">, sh kahel korral märgitud see õigesti esmahaigestumiseks ja ühel korral valesti korduvhaigestumiseks. </w:t>
      </w:r>
    </w:p>
    <w:p w14:paraId="0B32AD67" w14:textId="2199CA21" w:rsidR="00341999" w:rsidRPr="00096B24" w:rsidRDefault="00341999" w:rsidP="00096B24">
      <w:pPr>
        <w:jc w:val="both"/>
        <w:rPr>
          <w:rFonts w:ascii="Times New Roman" w:hAnsi="Times New Roman" w:cs="Times New Roman"/>
          <w:sz w:val="24"/>
          <w:szCs w:val="24"/>
        </w:rPr>
      </w:pPr>
      <w:proofErr w:type="spellStart"/>
      <w:r w:rsidRPr="00096B24">
        <w:rPr>
          <w:rFonts w:ascii="Times New Roman" w:hAnsi="Times New Roman" w:cs="Times New Roman"/>
          <w:sz w:val="24"/>
          <w:szCs w:val="24"/>
        </w:rPr>
        <w:t>Endoproteesimise</w:t>
      </w:r>
      <w:proofErr w:type="spellEnd"/>
      <w:r w:rsidRPr="00096B24">
        <w:rPr>
          <w:rFonts w:ascii="Times New Roman" w:hAnsi="Times New Roman" w:cs="Times New Roman"/>
          <w:sz w:val="24"/>
          <w:szCs w:val="24"/>
        </w:rPr>
        <w:t xml:space="preserve"> järgselt vajab operatsioonihaav hooldust, mille kodeerimiseks kasutasid erinevad teenuspakkujad koode Z48.0 „kirurgiliste sidemete ja õmbluste hooldus“ või Z47.8 „muu täpsustatud ortopeediline </w:t>
      </w:r>
      <w:proofErr w:type="spellStart"/>
      <w:r w:rsidRPr="00096B24">
        <w:rPr>
          <w:rFonts w:ascii="Times New Roman" w:hAnsi="Times New Roman" w:cs="Times New Roman"/>
          <w:sz w:val="24"/>
          <w:szCs w:val="24"/>
        </w:rPr>
        <w:t>järelhooldus</w:t>
      </w:r>
      <w:proofErr w:type="spellEnd"/>
      <w:r w:rsidRPr="00096B24">
        <w:rPr>
          <w:rFonts w:ascii="Times New Roman" w:hAnsi="Times New Roman" w:cs="Times New Roman"/>
          <w:sz w:val="24"/>
          <w:szCs w:val="24"/>
        </w:rPr>
        <w:t xml:space="preserve">“. Esines ka koodi Z47.0 „luumurruplaatide ja muude sisemiste </w:t>
      </w:r>
      <w:proofErr w:type="spellStart"/>
      <w:r w:rsidRPr="00096B24">
        <w:rPr>
          <w:rFonts w:ascii="Times New Roman" w:hAnsi="Times New Roman" w:cs="Times New Roman"/>
          <w:sz w:val="24"/>
          <w:szCs w:val="24"/>
        </w:rPr>
        <w:t>fiksatsiooniseadmete</w:t>
      </w:r>
      <w:proofErr w:type="spellEnd"/>
      <w:r w:rsidRPr="00096B24">
        <w:rPr>
          <w:rFonts w:ascii="Times New Roman" w:hAnsi="Times New Roman" w:cs="Times New Roman"/>
          <w:sz w:val="24"/>
          <w:szCs w:val="24"/>
        </w:rPr>
        <w:t xml:space="preserve"> eemaldamisega seotud </w:t>
      </w:r>
      <w:proofErr w:type="spellStart"/>
      <w:r w:rsidRPr="00096B24">
        <w:rPr>
          <w:rFonts w:ascii="Times New Roman" w:hAnsi="Times New Roman" w:cs="Times New Roman"/>
          <w:sz w:val="24"/>
          <w:szCs w:val="24"/>
        </w:rPr>
        <w:t>järelhooldus</w:t>
      </w:r>
      <w:proofErr w:type="spellEnd"/>
      <w:r w:rsidRPr="00096B24">
        <w:rPr>
          <w:rFonts w:ascii="Times New Roman" w:hAnsi="Times New Roman" w:cs="Times New Roman"/>
          <w:sz w:val="24"/>
          <w:szCs w:val="24"/>
        </w:rPr>
        <w:t xml:space="preserve">“ kasutamist nt statsionaarse </w:t>
      </w:r>
      <w:proofErr w:type="spellStart"/>
      <w:r w:rsidRPr="00096B24">
        <w:rPr>
          <w:rFonts w:ascii="Times New Roman" w:hAnsi="Times New Roman" w:cs="Times New Roman"/>
          <w:sz w:val="24"/>
          <w:szCs w:val="24"/>
        </w:rPr>
        <w:t>õendusabi</w:t>
      </w:r>
      <w:proofErr w:type="spellEnd"/>
      <w:r w:rsidRPr="00096B24">
        <w:rPr>
          <w:rFonts w:ascii="Times New Roman" w:hAnsi="Times New Roman" w:cs="Times New Roman"/>
          <w:sz w:val="24"/>
          <w:szCs w:val="24"/>
        </w:rPr>
        <w:t xml:space="preserve"> raames, mis oma olemuselt on vale, sest paigaldatud </w:t>
      </w:r>
      <w:proofErr w:type="spellStart"/>
      <w:r w:rsidRPr="00096B24">
        <w:rPr>
          <w:rFonts w:ascii="Times New Roman" w:hAnsi="Times New Roman" w:cs="Times New Roman"/>
          <w:sz w:val="24"/>
          <w:szCs w:val="24"/>
        </w:rPr>
        <w:t>endoproteesi</w:t>
      </w:r>
      <w:proofErr w:type="spellEnd"/>
      <w:r w:rsidRPr="00096B24">
        <w:rPr>
          <w:rFonts w:ascii="Times New Roman" w:hAnsi="Times New Roman" w:cs="Times New Roman"/>
          <w:sz w:val="24"/>
          <w:szCs w:val="24"/>
        </w:rPr>
        <w:t xml:space="preserve"> ei eemaldatud. Koodi Z51.8 „muu täpsustatud meditsiinihooldus“ kasutamine on samuti vale, sest peatükk Z51 sisaldab koode, mis on mõeldud kemoteraapia ja palliatiivse ravi ning nendega seonduvate terviseprobleemide käsitlemiseks. </w:t>
      </w:r>
    </w:p>
    <w:p w14:paraId="051420FE" w14:textId="71D7CCF9" w:rsidR="005169FF" w:rsidRPr="00096B24" w:rsidRDefault="005169FF" w:rsidP="00096B24">
      <w:pPr>
        <w:pStyle w:val="Heading1"/>
        <w:numPr>
          <w:ilvl w:val="2"/>
          <w:numId w:val="36"/>
        </w:numPr>
        <w:jc w:val="both"/>
        <w:rPr>
          <w:rFonts w:cs="Times New Roman"/>
          <w:szCs w:val="24"/>
        </w:rPr>
      </w:pPr>
      <w:bookmarkStart w:id="15" w:name="_Hlk64558935"/>
      <w:r w:rsidRPr="00096B24">
        <w:rPr>
          <w:rFonts w:cs="Times New Roman"/>
          <w:szCs w:val="24"/>
        </w:rPr>
        <w:t xml:space="preserve">Paigaldatud </w:t>
      </w:r>
      <w:proofErr w:type="spellStart"/>
      <w:r w:rsidRPr="00096B24">
        <w:rPr>
          <w:rFonts w:cs="Times New Roman"/>
          <w:szCs w:val="24"/>
        </w:rPr>
        <w:t>endoproteesi</w:t>
      </w:r>
      <w:proofErr w:type="spellEnd"/>
      <w:r w:rsidRPr="00096B24">
        <w:rPr>
          <w:rFonts w:cs="Times New Roman"/>
          <w:szCs w:val="24"/>
        </w:rPr>
        <w:t xml:space="preserve"> kodeerimine järgnevates haiguslugudes</w:t>
      </w:r>
    </w:p>
    <w:p w14:paraId="776DAC42" w14:textId="5BC38396" w:rsidR="00EE2818" w:rsidRPr="00096B24" w:rsidRDefault="000C11F3" w:rsidP="00096B24">
      <w:pPr>
        <w:spacing w:line="240" w:lineRule="auto"/>
        <w:jc w:val="both"/>
        <w:rPr>
          <w:rFonts w:ascii="Times New Roman" w:hAnsi="Times New Roman" w:cs="Times New Roman"/>
          <w:sz w:val="24"/>
          <w:szCs w:val="24"/>
        </w:rPr>
      </w:pPr>
      <w:proofErr w:type="spellStart"/>
      <w:r w:rsidRPr="00096B24">
        <w:rPr>
          <w:rFonts w:ascii="Times New Roman" w:hAnsi="Times New Roman" w:cs="Times New Roman"/>
          <w:sz w:val="24"/>
          <w:szCs w:val="24"/>
        </w:rPr>
        <w:t>Endoproteesimisele</w:t>
      </w:r>
      <w:proofErr w:type="spellEnd"/>
      <w:r w:rsidRPr="00096B24">
        <w:rPr>
          <w:rFonts w:ascii="Times New Roman" w:hAnsi="Times New Roman" w:cs="Times New Roman"/>
          <w:sz w:val="24"/>
          <w:szCs w:val="24"/>
        </w:rPr>
        <w:t xml:space="preserve"> järgnevates haigusjuhtudes kasutati </w:t>
      </w:r>
      <w:r w:rsidR="00FB5322" w:rsidRPr="00096B24">
        <w:rPr>
          <w:rFonts w:ascii="Times New Roman" w:hAnsi="Times New Roman" w:cs="Times New Roman"/>
          <w:sz w:val="24"/>
          <w:szCs w:val="24"/>
        </w:rPr>
        <w:t xml:space="preserve">põhihaiguse diagnoosina koodi Z96.6 või koodi, mis väljendas </w:t>
      </w:r>
      <w:proofErr w:type="spellStart"/>
      <w:r w:rsidR="00FB5322" w:rsidRPr="00096B24">
        <w:rPr>
          <w:rFonts w:ascii="Times New Roman" w:hAnsi="Times New Roman" w:cs="Times New Roman"/>
          <w:sz w:val="24"/>
          <w:szCs w:val="24"/>
        </w:rPr>
        <w:t>endoproteesimise</w:t>
      </w:r>
      <w:proofErr w:type="spellEnd"/>
      <w:r w:rsidR="00FB5322" w:rsidRPr="00096B24">
        <w:rPr>
          <w:rFonts w:ascii="Times New Roman" w:hAnsi="Times New Roman" w:cs="Times New Roman"/>
          <w:sz w:val="24"/>
          <w:szCs w:val="24"/>
        </w:rPr>
        <w:t xml:space="preserve"> tinginud puusaliigest kahjustanud haigust (M16.x või M87.x). Enamasti kasutati mõlemat koodi – ühte põhi- ja teist kaasuva haigusena, kuid täpne praktika varieerub: </w:t>
      </w:r>
    </w:p>
    <w:p w14:paraId="769BE842" w14:textId="64AA07FA" w:rsidR="00FB5322" w:rsidRPr="00096B24" w:rsidRDefault="00FB5322" w:rsidP="00096B24">
      <w:pPr>
        <w:pStyle w:val="ListParagraph"/>
        <w:numPr>
          <w:ilvl w:val="0"/>
          <w:numId w:val="40"/>
        </w:numPr>
        <w:jc w:val="both"/>
      </w:pPr>
      <w:r w:rsidRPr="00096B24">
        <w:t xml:space="preserve">kui puusaliigese tinginud põhihaigus kahjustas ka teist puusaliigest ja esinesid ka kaebused, oli levinud M16.x koodi edasi kasutamine põhihaiguse koodina. </w:t>
      </w:r>
    </w:p>
    <w:p w14:paraId="4853073B" w14:textId="108C437E" w:rsidR="00FB5322" w:rsidRPr="00096B24" w:rsidRDefault="00FB5322" w:rsidP="00096B24">
      <w:pPr>
        <w:pStyle w:val="ListParagraph"/>
        <w:numPr>
          <w:ilvl w:val="0"/>
          <w:numId w:val="40"/>
        </w:numPr>
        <w:jc w:val="both"/>
      </w:pPr>
      <w:r w:rsidRPr="00096B24">
        <w:t xml:space="preserve">kui puusaliigese </w:t>
      </w:r>
      <w:proofErr w:type="spellStart"/>
      <w:r w:rsidRPr="00096B24">
        <w:t>endoproteesimise</w:t>
      </w:r>
      <w:proofErr w:type="spellEnd"/>
      <w:r w:rsidRPr="00096B24">
        <w:t xml:space="preserve"> tingis trauma tagajärjel kujunenud puusaliigese kahjustus (M16.4 või M16.5) ja ei esinenud teise puusaliigese kahjustumist ega kaebusi, oli edaspidistes haiguslugudes levinud Z96.6 kasutamine põhihaiguse koodina. </w:t>
      </w:r>
    </w:p>
    <w:bookmarkEnd w:id="15"/>
    <w:p w14:paraId="43142BE3" w14:textId="7EDF5487" w:rsidR="00CF52DF" w:rsidRPr="00096B24" w:rsidRDefault="00EE2818" w:rsidP="00096B24">
      <w:pPr>
        <w:pStyle w:val="Heading1"/>
        <w:spacing w:after="240" w:line="240" w:lineRule="auto"/>
        <w:jc w:val="both"/>
        <w:rPr>
          <w:rFonts w:cs="Times New Roman"/>
          <w:bCs/>
          <w:szCs w:val="24"/>
        </w:rPr>
      </w:pPr>
      <w:r w:rsidRPr="00096B24">
        <w:rPr>
          <w:rFonts w:cs="Times New Roman"/>
          <w:bCs/>
          <w:szCs w:val="24"/>
        </w:rPr>
        <w:t xml:space="preserve">4.2.4  </w:t>
      </w:r>
      <w:r w:rsidR="005169FF" w:rsidRPr="00096B24">
        <w:rPr>
          <w:rFonts w:cs="Times New Roman"/>
          <w:bCs/>
          <w:szCs w:val="24"/>
        </w:rPr>
        <w:t>Tüsistuste kodeerimine</w:t>
      </w:r>
    </w:p>
    <w:p w14:paraId="1ADCCA9B" w14:textId="66C9FBAA" w:rsidR="00EE2818" w:rsidRPr="00096B24" w:rsidRDefault="00FC424F" w:rsidP="00096B24">
      <w:pPr>
        <w:jc w:val="both"/>
        <w:rPr>
          <w:rFonts w:ascii="Times New Roman" w:hAnsi="Times New Roman" w:cs="Times New Roman"/>
          <w:sz w:val="24"/>
          <w:szCs w:val="24"/>
        </w:rPr>
      </w:pPr>
      <w:r w:rsidRPr="00096B24">
        <w:rPr>
          <w:rFonts w:ascii="Times New Roman" w:hAnsi="Times New Roman" w:cs="Times New Roman"/>
          <w:sz w:val="24"/>
          <w:szCs w:val="24"/>
        </w:rPr>
        <w:t xml:space="preserve">Hinnatud haigusjuhtudest kujunes ühel juhul haiglas viibimise ajal haava tüsistus ja teostati </w:t>
      </w:r>
      <w:r w:rsidR="00FD0026" w:rsidRPr="00096B24">
        <w:rPr>
          <w:rFonts w:ascii="Times New Roman" w:hAnsi="Times New Roman" w:cs="Times New Roman"/>
          <w:sz w:val="24"/>
          <w:szCs w:val="24"/>
        </w:rPr>
        <w:t xml:space="preserve">erakorraline kirurgiline haava </w:t>
      </w:r>
      <w:proofErr w:type="spellStart"/>
      <w:r w:rsidR="00FD0026" w:rsidRPr="00096B24">
        <w:rPr>
          <w:rFonts w:ascii="Times New Roman" w:hAnsi="Times New Roman" w:cs="Times New Roman"/>
          <w:sz w:val="24"/>
          <w:szCs w:val="24"/>
        </w:rPr>
        <w:t>ekstsisioon</w:t>
      </w:r>
      <w:proofErr w:type="spellEnd"/>
      <w:r w:rsidR="00FD0026" w:rsidRPr="00096B24">
        <w:rPr>
          <w:rFonts w:ascii="Times New Roman" w:hAnsi="Times New Roman" w:cs="Times New Roman"/>
          <w:sz w:val="24"/>
          <w:szCs w:val="24"/>
        </w:rPr>
        <w:t xml:space="preserve"> (</w:t>
      </w:r>
      <w:r w:rsidR="00E9451C" w:rsidRPr="00096B24">
        <w:rPr>
          <w:rFonts w:ascii="Times New Roman" w:hAnsi="Times New Roman" w:cs="Times New Roman"/>
          <w:sz w:val="24"/>
          <w:szCs w:val="24"/>
        </w:rPr>
        <w:t xml:space="preserve">kaasuv haigus T81.3, </w:t>
      </w:r>
      <w:r w:rsidR="00FD0026" w:rsidRPr="00096B24">
        <w:rPr>
          <w:rFonts w:ascii="Times New Roman" w:hAnsi="Times New Roman" w:cs="Times New Roman"/>
          <w:sz w:val="24"/>
          <w:szCs w:val="24"/>
        </w:rPr>
        <w:t>operatsioonikood OQ2109, NCSP kood NEW49).</w:t>
      </w:r>
    </w:p>
    <w:p w14:paraId="1CA1B7E8" w14:textId="11498CA3" w:rsidR="00FC424F" w:rsidRPr="00096B24" w:rsidRDefault="00FC424F" w:rsidP="00096B24">
      <w:pPr>
        <w:jc w:val="both"/>
        <w:rPr>
          <w:rFonts w:ascii="Times New Roman" w:hAnsi="Times New Roman" w:cs="Times New Roman"/>
          <w:sz w:val="24"/>
          <w:szCs w:val="24"/>
        </w:rPr>
      </w:pPr>
      <w:proofErr w:type="spellStart"/>
      <w:r w:rsidRPr="00096B24">
        <w:rPr>
          <w:rFonts w:ascii="Times New Roman" w:hAnsi="Times New Roman" w:cs="Times New Roman"/>
          <w:sz w:val="24"/>
          <w:szCs w:val="24"/>
        </w:rPr>
        <w:t>Endoproteesimise</w:t>
      </w:r>
      <w:proofErr w:type="spellEnd"/>
      <w:r w:rsidRPr="00096B24">
        <w:rPr>
          <w:rFonts w:ascii="Times New Roman" w:hAnsi="Times New Roman" w:cs="Times New Roman"/>
          <w:sz w:val="24"/>
          <w:szCs w:val="24"/>
        </w:rPr>
        <w:t xml:space="preserve"> järgselt esines ühel patsiendil aasta jooksul kahel korral </w:t>
      </w:r>
      <w:proofErr w:type="spellStart"/>
      <w:r w:rsidRPr="00096B24">
        <w:rPr>
          <w:rFonts w:ascii="Times New Roman" w:hAnsi="Times New Roman" w:cs="Times New Roman"/>
          <w:sz w:val="24"/>
          <w:szCs w:val="24"/>
        </w:rPr>
        <w:t>endoproteesi</w:t>
      </w:r>
      <w:proofErr w:type="spellEnd"/>
      <w:r w:rsidRPr="00096B24">
        <w:rPr>
          <w:rFonts w:ascii="Times New Roman" w:hAnsi="Times New Roman" w:cs="Times New Roman"/>
          <w:sz w:val="24"/>
          <w:szCs w:val="24"/>
        </w:rPr>
        <w:t xml:space="preserve"> </w:t>
      </w:r>
      <w:proofErr w:type="spellStart"/>
      <w:r w:rsidRPr="00096B24">
        <w:rPr>
          <w:rFonts w:ascii="Times New Roman" w:hAnsi="Times New Roman" w:cs="Times New Roman"/>
          <w:sz w:val="24"/>
          <w:szCs w:val="24"/>
        </w:rPr>
        <w:t>luksatsioon</w:t>
      </w:r>
      <w:proofErr w:type="spellEnd"/>
      <w:r w:rsidRPr="00096B24">
        <w:rPr>
          <w:rFonts w:ascii="Times New Roman" w:hAnsi="Times New Roman" w:cs="Times New Roman"/>
          <w:sz w:val="24"/>
          <w:szCs w:val="24"/>
        </w:rPr>
        <w:t xml:space="preserve">, mis </w:t>
      </w:r>
      <w:proofErr w:type="spellStart"/>
      <w:r w:rsidRPr="00096B24">
        <w:rPr>
          <w:rFonts w:ascii="Times New Roman" w:hAnsi="Times New Roman" w:cs="Times New Roman"/>
          <w:sz w:val="24"/>
          <w:szCs w:val="24"/>
        </w:rPr>
        <w:t>reponeeriti</w:t>
      </w:r>
      <w:proofErr w:type="spellEnd"/>
      <w:r w:rsidRPr="00096B24">
        <w:rPr>
          <w:rFonts w:ascii="Times New Roman" w:hAnsi="Times New Roman" w:cs="Times New Roman"/>
          <w:sz w:val="24"/>
          <w:szCs w:val="24"/>
        </w:rPr>
        <w:t>. Põhihaiguse diagnoosina oli mõlemal korral kasutatud koodi S73.0</w:t>
      </w:r>
      <w:r w:rsidR="00E71703">
        <w:rPr>
          <w:rFonts w:ascii="Times New Roman" w:hAnsi="Times New Roman" w:cs="Times New Roman"/>
          <w:sz w:val="24"/>
          <w:szCs w:val="24"/>
        </w:rPr>
        <w:t xml:space="preserve"> ja TTLI alusel operatsioonikoodi ON2152 „</w:t>
      </w:r>
      <w:proofErr w:type="spellStart"/>
      <w:r w:rsidR="00E71703">
        <w:rPr>
          <w:rFonts w:ascii="Times New Roman" w:hAnsi="Times New Roman" w:cs="Times New Roman"/>
          <w:sz w:val="24"/>
          <w:szCs w:val="24"/>
        </w:rPr>
        <w:t>r</w:t>
      </w:r>
      <w:r w:rsidR="00E71703" w:rsidRPr="00E71703">
        <w:rPr>
          <w:rFonts w:ascii="Times New Roman" w:hAnsi="Times New Roman" w:cs="Times New Roman"/>
          <w:sz w:val="24"/>
          <w:szCs w:val="24"/>
        </w:rPr>
        <w:t>epositsioonid</w:t>
      </w:r>
      <w:proofErr w:type="spellEnd"/>
      <w:r w:rsidR="00E71703" w:rsidRPr="00E71703">
        <w:rPr>
          <w:rFonts w:ascii="Times New Roman" w:hAnsi="Times New Roman" w:cs="Times New Roman"/>
          <w:sz w:val="24"/>
          <w:szCs w:val="24"/>
        </w:rPr>
        <w:t xml:space="preserve"> suurtel luudel ja liigeste</w:t>
      </w:r>
      <w:r w:rsidR="00E71703">
        <w:rPr>
          <w:rFonts w:ascii="Times New Roman" w:hAnsi="Times New Roman" w:cs="Times New Roman"/>
          <w:sz w:val="24"/>
          <w:szCs w:val="24"/>
        </w:rPr>
        <w:t xml:space="preserve">“.  </w:t>
      </w:r>
      <w:r w:rsidR="00E9451C" w:rsidRPr="00096B24">
        <w:rPr>
          <w:rFonts w:ascii="Times New Roman" w:hAnsi="Times New Roman" w:cs="Times New Roman"/>
          <w:sz w:val="24"/>
          <w:szCs w:val="24"/>
        </w:rPr>
        <w:t xml:space="preserve">NCSP alusel oli ühel korral puusaliigese </w:t>
      </w:r>
      <w:proofErr w:type="spellStart"/>
      <w:r w:rsidR="00E9451C" w:rsidRPr="00096B24">
        <w:rPr>
          <w:rFonts w:ascii="Times New Roman" w:hAnsi="Times New Roman" w:cs="Times New Roman"/>
          <w:sz w:val="24"/>
          <w:szCs w:val="24"/>
        </w:rPr>
        <w:t>luks</w:t>
      </w:r>
      <w:r w:rsidR="00507CF5" w:rsidRPr="00096B24">
        <w:rPr>
          <w:rFonts w:ascii="Times New Roman" w:hAnsi="Times New Roman" w:cs="Times New Roman"/>
          <w:sz w:val="24"/>
          <w:szCs w:val="24"/>
        </w:rPr>
        <w:t>atsiooni</w:t>
      </w:r>
      <w:proofErr w:type="spellEnd"/>
      <w:r w:rsidR="00507CF5" w:rsidRPr="00096B24">
        <w:rPr>
          <w:rFonts w:ascii="Times New Roman" w:hAnsi="Times New Roman" w:cs="Times New Roman"/>
          <w:sz w:val="24"/>
          <w:szCs w:val="24"/>
        </w:rPr>
        <w:t xml:space="preserve"> paigaldamiseks kasutatud õigesti koodi NFH20 </w:t>
      </w:r>
      <w:r w:rsidR="00507CF5" w:rsidRPr="00096B24">
        <w:rPr>
          <w:rFonts w:ascii="Times New Roman" w:hAnsi="Times New Roman" w:cs="Times New Roman"/>
          <w:sz w:val="24"/>
          <w:szCs w:val="24"/>
        </w:rPr>
        <w:lastRenderedPageBreak/>
        <w:t xml:space="preserve">„puusaliigese proteesi </w:t>
      </w:r>
      <w:proofErr w:type="spellStart"/>
      <w:r w:rsidR="00507CF5" w:rsidRPr="00096B24">
        <w:rPr>
          <w:rFonts w:ascii="Times New Roman" w:hAnsi="Times New Roman" w:cs="Times New Roman"/>
          <w:sz w:val="24"/>
          <w:szCs w:val="24"/>
        </w:rPr>
        <w:t>luksatsiooni</w:t>
      </w:r>
      <w:proofErr w:type="spellEnd"/>
      <w:r w:rsidR="00507CF5" w:rsidRPr="00096B24">
        <w:rPr>
          <w:rFonts w:ascii="Times New Roman" w:hAnsi="Times New Roman" w:cs="Times New Roman"/>
          <w:sz w:val="24"/>
          <w:szCs w:val="24"/>
        </w:rPr>
        <w:t xml:space="preserve"> paigaldamine; kinnine“, teisel korral </w:t>
      </w:r>
      <w:r w:rsidR="00A637D1" w:rsidRPr="00096B24">
        <w:rPr>
          <w:rFonts w:ascii="Times New Roman" w:hAnsi="Times New Roman" w:cs="Times New Roman"/>
          <w:sz w:val="24"/>
          <w:szCs w:val="24"/>
        </w:rPr>
        <w:t>valesti</w:t>
      </w:r>
      <w:r w:rsidR="00507CF5" w:rsidRPr="00096B24">
        <w:rPr>
          <w:rFonts w:ascii="Times New Roman" w:hAnsi="Times New Roman" w:cs="Times New Roman"/>
          <w:sz w:val="24"/>
          <w:szCs w:val="24"/>
        </w:rPr>
        <w:t xml:space="preserve"> koodi NFH00 „puusaliigese </w:t>
      </w:r>
      <w:proofErr w:type="spellStart"/>
      <w:r w:rsidR="00507CF5" w:rsidRPr="00096B24">
        <w:rPr>
          <w:rFonts w:ascii="Times New Roman" w:hAnsi="Times New Roman" w:cs="Times New Roman"/>
          <w:sz w:val="24"/>
          <w:szCs w:val="24"/>
        </w:rPr>
        <w:t>luksatsiooni</w:t>
      </w:r>
      <w:proofErr w:type="spellEnd"/>
      <w:r w:rsidR="00507CF5" w:rsidRPr="00096B24">
        <w:rPr>
          <w:rFonts w:ascii="Times New Roman" w:hAnsi="Times New Roman" w:cs="Times New Roman"/>
          <w:sz w:val="24"/>
          <w:szCs w:val="24"/>
        </w:rPr>
        <w:t xml:space="preserve"> paigaldamine“, millele on täpsustusena lisatud „</w:t>
      </w:r>
      <w:r w:rsidR="00507CF5" w:rsidRPr="00096B24">
        <w:rPr>
          <w:rFonts w:ascii="Times New Roman" w:hAnsi="Times New Roman" w:cs="Times New Roman"/>
          <w:i/>
          <w:iCs/>
          <w:sz w:val="24"/>
          <w:szCs w:val="24"/>
        </w:rPr>
        <w:t xml:space="preserve">välja arvatud proteesi </w:t>
      </w:r>
      <w:proofErr w:type="spellStart"/>
      <w:r w:rsidR="00507CF5" w:rsidRPr="00096B24">
        <w:rPr>
          <w:rFonts w:ascii="Times New Roman" w:hAnsi="Times New Roman" w:cs="Times New Roman"/>
          <w:i/>
          <w:iCs/>
          <w:sz w:val="24"/>
          <w:szCs w:val="24"/>
        </w:rPr>
        <w:t>luksatsiooni</w:t>
      </w:r>
      <w:proofErr w:type="spellEnd"/>
      <w:r w:rsidR="00507CF5" w:rsidRPr="00096B24">
        <w:rPr>
          <w:rFonts w:ascii="Times New Roman" w:hAnsi="Times New Roman" w:cs="Times New Roman"/>
          <w:i/>
          <w:iCs/>
          <w:sz w:val="24"/>
          <w:szCs w:val="24"/>
        </w:rPr>
        <w:t xml:space="preserve"> paigaldamine</w:t>
      </w:r>
      <w:r w:rsidR="00507CF5" w:rsidRPr="00096B24">
        <w:rPr>
          <w:rFonts w:ascii="Times New Roman" w:hAnsi="Times New Roman" w:cs="Times New Roman"/>
          <w:sz w:val="24"/>
          <w:szCs w:val="24"/>
        </w:rPr>
        <w:t>“</w:t>
      </w:r>
      <w:r w:rsidR="00A637D1" w:rsidRPr="00096B24">
        <w:rPr>
          <w:rFonts w:ascii="Times New Roman" w:hAnsi="Times New Roman" w:cs="Times New Roman"/>
          <w:sz w:val="24"/>
          <w:szCs w:val="24"/>
        </w:rPr>
        <w:t xml:space="preserve">. </w:t>
      </w:r>
      <w:r w:rsidR="00507CF5" w:rsidRPr="00096B24">
        <w:rPr>
          <w:rFonts w:ascii="Times New Roman" w:hAnsi="Times New Roman" w:cs="Times New Roman"/>
          <w:sz w:val="24"/>
          <w:szCs w:val="24"/>
        </w:rPr>
        <w:t xml:space="preserve"> </w:t>
      </w:r>
    </w:p>
    <w:p w14:paraId="11B98141" w14:textId="0C6E6C6E" w:rsidR="00CF52DF" w:rsidRPr="00096B24" w:rsidRDefault="00EE2818" w:rsidP="00096B24">
      <w:pPr>
        <w:pStyle w:val="Heading1"/>
        <w:spacing w:after="240" w:line="240" w:lineRule="auto"/>
        <w:jc w:val="both"/>
        <w:rPr>
          <w:rFonts w:cs="Times New Roman"/>
          <w:bCs/>
          <w:szCs w:val="24"/>
        </w:rPr>
      </w:pPr>
      <w:r w:rsidRPr="00096B24">
        <w:rPr>
          <w:rFonts w:cs="Times New Roman"/>
          <w:bCs/>
          <w:szCs w:val="24"/>
        </w:rPr>
        <w:t xml:space="preserve">4.2.5 </w:t>
      </w:r>
      <w:r w:rsidR="005169FF" w:rsidRPr="00096B24">
        <w:rPr>
          <w:rFonts w:cs="Times New Roman"/>
          <w:bCs/>
          <w:szCs w:val="24"/>
        </w:rPr>
        <w:t>Kirurgiliste protseduuride kodeerimine NCSP alusel</w:t>
      </w:r>
    </w:p>
    <w:p w14:paraId="7870B21C" w14:textId="35AAC729" w:rsidR="00FD0026" w:rsidRDefault="0006118A" w:rsidP="00096B24">
      <w:pPr>
        <w:spacing w:line="240" w:lineRule="auto"/>
        <w:jc w:val="both"/>
        <w:rPr>
          <w:rFonts w:ascii="Times New Roman" w:hAnsi="Times New Roman" w:cs="Times New Roman"/>
          <w:sz w:val="24"/>
          <w:szCs w:val="24"/>
        </w:rPr>
      </w:pPr>
      <w:r w:rsidRPr="00096B24">
        <w:rPr>
          <w:rFonts w:ascii="Times New Roman" w:hAnsi="Times New Roman" w:cs="Times New Roman"/>
          <w:sz w:val="24"/>
          <w:szCs w:val="24"/>
        </w:rPr>
        <w:t xml:space="preserve">Hinnatud haiguslugudes paigaldati </w:t>
      </w:r>
      <w:r w:rsidR="001256BC" w:rsidRPr="00096B24">
        <w:rPr>
          <w:rFonts w:ascii="Times New Roman" w:hAnsi="Times New Roman" w:cs="Times New Roman"/>
          <w:sz w:val="24"/>
          <w:szCs w:val="24"/>
        </w:rPr>
        <w:t>5</w:t>
      </w:r>
      <w:r w:rsidR="007152A8" w:rsidRPr="00096B24">
        <w:rPr>
          <w:rFonts w:ascii="Times New Roman" w:hAnsi="Times New Roman" w:cs="Times New Roman"/>
          <w:sz w:val="24"/>
          <w:szCs w:val="24"/>
        </w:rPr>
        <w:t>6</w:t>
      </w:r>
      <w:r w:rsidRPr="00096B24">
        <w:rPr>
          <w:rFonts w:ascii="Times New Roman" w:hAnsi="Times New Roman" w:cs="Times New Roman"/>
          <w:sz w:val="24"/>
          <w:szCs w:val="24"/>
        </w:rPr>
        <w:t xml:space="preserve"> juhul tsementeeritav puusaliigese </w:t>
      </w:r>
      <w:proofErr w:type="spellStart"/>
      <w:r w:rsidRPr="00096B24">
        <w:rPr>
          <w:rFonts w:ascii="Times New Roman" w:hAnsi="Times New Roman" w:cs="Times New Roman"/>
          <w:sz w:val="24"/>
          <w:szCs w:val="24"/>
        </w:rPr>
        <w:t>endoprotees</w:t>
      </w:r>
      <w:proofErr w:type="spellEnd"/>
      <w:r w:rsidRPr="00096B24">
        <w:rPr>
          <w:rFonts w:ascii="Times New Roman" w:hAnsi="Times New Roman" w:cs="Times New Roman"/>
          <w:sz w:val="24"/>
          <w:szCs w:val="24"/>
        </w:rPr>
        <w:t xml:space="preserve">, </w:t>
      </w:r>
      <w:r w:rsidR="007152A8" w:rsidRPr="00096B24">
        <w:rPr>
          <w:rFonts w:ascii="Times New Roman" w:hAnsi="Times New Roman" w:cs="Times New Roman"/>
          <w:sz w:val="24"/>
          <w:szCs w:val="24"/>
        </w:rPr>
        <w:t>59</w:t>
      </w:r>
      <w:r w:rsidRPr="00096B24">
        <w:rPr>
          <w:rFonts w:ascii="Times New Roman" w:hAnsi="Times New Roman" w:cs="Times New Roman"/>
          <w:sz w:val="24"/>
          <w:szCs w:val="24"/>
        </w:rPr>
        <w:t xml:space="preserve"> juhul tsemendi</w:t>
      </w:r>
      <w:r w:rsidR="001256BC" w:rsidRPr="00096B24">
        <w:rPr>
          <w:rFonts w:ascii="Times New Roman" w:hAnsi="Times New Roman" w:cs="Times New Roman"/>
          <w:sz w:val="24"/>
          <w:szCs w:val="24"/>
        </w:rPr>
        <w:t>ta</w:t>
      </w:r>
      <w:r w:rsidRPr="00096B24">
        <w:rPr>
          <w:rFonts w:ascii="Times New Roman" w:hAnsi="Times New Roman" w:cs="Times New Roman"/>
          <w:sz w:val="24"/>
          <w:szCs w:val="24"/>
        </w:rPr>
        <w:t xml:space="preserve"> puusaliigese </w:t>
      </w:r>
      <w:proofErr w:type="spellStart"/>
      <w:r w:rsidRPr="00096B24">
        <w:rPr>
          <w:rFonts w:ascii="Times New Roman" w:hAnsi="Times New Roman" w:cs="Times New Roman"/>
          <w:sz w:val="24"/>
          <w:szCs w:val="24"/>
        </w:rPr>
        <w:t>endoprotees</w:t>
      </w:r>
      <w:proofErr w:type="spellEnd"/>
      <w:r w:rsidRPr="00096B24">
        <w:rPr>
          <w:rFonts w:ascii="Times New Roman" w:hAnsi="Times New Roman" w:cs="Times New Roman"/>
          <w:sz w:val="24"/>
          <w:szCs w:val="24"/>
        </w:rPr>
        <w:t xml:space="preserve">, </w:t>
      </w:r>
      <w:r w:rsidR="007152A8" w:rsidRPr="00096B24">
        <w:rPr>
          <w:rFonts w:ascii="Times New Roman" w:hAnsi="Times New Roman" w:cs="Times New Roman"/>
          <w:sz w:val="24"/>
          <w:szCs w:val="24"/>
        </w:rPr>
        <w:t>6</w:t>
      </w:r>
      <w:r w:rsidRPr="00096B24">
        <w:rPr>
          <w:rFonts w:ascii="Times New Roman" w:hAnsi="Times New Roman" w:cs="Times New Roman"/>
          <w:sz w:val="24"/>
          <w:szCs w:val="24"/>
        </w:rPr>
        <w:t xml:space="preserve"> juhul puusaliigese hübriid-protees ja </w:t>
      </w:r>
      <w:r w:rsidR="001256BC" w:rsidRPr="00096B24">
        <w:rPr>
          <w:rFonts w:ascii="Times New Roman" w:hAnsi="Times New Roman" w:cs="Times New Roman"/>
          <w:sz w:val="24"/>
          <w:szCs w:val="24"/>
        </w:rPr>
        <w:t>19</w:t>
      </w:r>
      <w:r w:rsidRPr="00096B24">
        <w:rPr>
          <w:rFonts w:ascii="Times New Roman" w:hAnsi="Times New Roman" w:cs="Times New Roman"/>
          <w:sz w:val="24"/>
          <w:szCs w:val="24"/>
        </w:rPr>
        <w:t xml:space="preserve"> juhul puusaliigese poolprotees</w:t>
      </w:r>
      <w:r w:rsidR="001256BC" w:rsidRPr="00096B24">
        <w:rPr>
          <w:rFonts w:ascii="Times New Roman" w:hAnsi="Times New Roman" w:cs="Times New Roman"/>
          <w:sz w:val="24"/>
          <w:szCs w:val="24"/>
        </w:rPr>
        <w:t xml:space="preserve"> (nendest 1 tsemendita poolprotees)</w:t>
      </w:r>
      <w:r w:rsidRPr="00096B24">
        <w:rPr>
          <w:rFonts w:ascii="Times New Roman" w:hAnsi="Times New Roman" w:cs="Times New Roman"/>
          <w:sz w:val="24"/>
          <w:szCs w:val="24"/>
        </w:rPr>
        <w:t xml:space="preserve">. </w:t>
      </w:r>
      <w:r w:rsidR="00A637D1" w:rsidRPr="00096B24">
        <w:rPr>
          <w:rFonts w:ascii="Times New Roman" w:hAnsi="Times New Roman" w:cs="Times New Roman"/>
          <w:sz w:val="24"/>
          <w:szCs w:val="24"/>
        </w:rPr>
        <w:t>3</w:t>
      </w:r>
      <w:r w:rsidRPr="00096B24">
        <w:rPr>
          <w:rFonts w:ascii="Times New Roman" w:hAnsi="Times New Roman" w:cs="Times New Roman"/>
          <w:sz w:val="24"/>
          <w:szCs w:val="24"/>
        </w:rPr>
        <w:t xml:space="preserve"> juhul esines ebakõla haigusloo sissekannete põhjal patsiendile paigaldatud puusaliigese </w:t>
      </w:r>
      <w:proofErr w:type="spellStart"/>
      <w:r w:rsidRPr="00096B24">
        <w:rPr>
          <w:rFonts w:ascii="Times New Roman" w:hAnsi="Times New Roman" w:cs="Times New Roman"/>
          <w:sz w:val="24"/>
          <w:szCs w:val="24"/>
        </w:rPr>
        <w:t>endoproteesi</w:t>
      </w:r>
      <w:proofErr w:type="spellEnd"/>
      <w:r w:rsidRPr="00096B24">
        <w:rPr>
          <w:rFonts w:ascii="Times New Roman" w:hAnsi="Times New Roman" w:cs="Times New Roman"/>
          <w:sz w:val="24"/>
          <w:szCs w:val="24"/>
        </w:rPr>
        <w:t xml:space="preserve"> ja raviarvele kantud kodeeringu vahel. </w:t>
      </w:r>
    </w:p>
    <w:p w14:paraId="2CA13440" w14:textId="5511F08D" w:rsidR="00FC424F" w:rsidRPr="00096B24" w:rsidRDefault="00FC424F" w:rsidP="00096B24">
      <w:pPr>
        <w:spacing w:line="240" w:lineRule="auto"/>
        <w:jc w:val="both"/>
        <w:rPr>
          <w:rFonts w:ascii="Times New Roman" w:hAnsi="Times New Roman" w:cs="Times New Roman"/>
          <w:sz w:val="24"/>
          <w:szCs w:val="24"/>
        </w:rPr>
      </w:pPr>
      <w:r w:rsidRPr="00096B24">
        <w:rPr>
          <w:rFonts w:ascii="Times New Roman" w:hAnsi="Times New Roman" w:cs="Times New Roman"/>
          <w:sz w:val="24"/>
          <w:szCs w:val="24"/>
        </w:rPr>
        <w:t xml:space="preserve">Juhtudel, kus oli vajalik teostada luu transplantatsioon vaagnale </w:t>
      </w:r>
      <w:proofErr w:type="spellStart"/>
      <w:r w:rsidRPr="00096B24">
        <w:rPr>
          <w:rFonts w:ascii="Times New Roman" w:hAnsi="Times New Roman" w:cs="Times New Roman"/>
          <w:sz w:val="24"/>
          <w:szCs w:val="24"/>
        </w:rPr>
        <w:t>endoproteesi</w:t>
      </w:r>
      <w:proofErr w:type="spellEnd"/>
      <w:r w:rsidRPr="00096B24">
        <w:rPr>
          <w:rFonts w:ascii="Times New Roman" w:hAnsi="Times New Roman" w:cs="Times New Roman"/>
          <w:sz w:val="24"/>
          <w:szCs w:val="24"/>
        </w:rPr>
        <w:t xml:space="preserve"> paremaks kinnitamiseks, oli vastav kirurgiline protseduur õigesti kodeeritud (</w:t>
      </w:r>
      <w:r w:rsidR="00607F55" w:rsidRPr="00096B24">
        <w:rPr>
          <w:rFonts w:ascii="Times New Roman" w:hAnsi="Times New Roman" w:cs="Times New Roman"/>
          <w:sz w:val="24"/>
          <w:szCs w:val="24"/>
        </w:rPr>
        <w:t xml:space="preserve">6 </w:t>
      </w:r>
      <w:r w:rsidRPr="00096B24">
        <w:rPr>
          <w:rFonts w:ascii="Times New Roman" w:hAnsi="Times New Roman" w:cs="Times New Roman"/>
          <w:sz w:val="24"/>
          <w:szCs w:val="24"/>
        </w:rPr>
        <w:t xml:space="preserve">juhtu, NCSP kood NEN09 või NEN19). </w:t>
      </w:r>
    </w:p>
    <w:p w14:paraId="76781DEF" w14:textId="1B6C01FD" w:rsidR="00FF5ED7" w:rsidRPr="00096B24" w:rsidRDefault="00FF5ED7" w:rsidP="00096B24">
      <w:pPr>
        <w:spacing w:line="240" w:lineRule="auto"/>
        <w:jc w:val="both"/>
        <w:rPr>
          <w:rFonts w:ascii="Times New Roman" w:hAnsi="Times New Roman" w:cs="Times New Roman"/>
          <w:sz w:val="24"/>
          <w:szCs w:val="24"/>
        </w:rPr>
      </w:pPr>
      <w:r w:rsidRPr="00096B24">
        <w:rPr>
          <w:rFonts w:ascii="Times New Roman" w:hAnsi="Times New Roman" w:cs="Times New Roman"/>
          <w:sz w:val="24"/>
          <w:szCs w:val="24"/>
        </w:rPr>
        <w:t xml:space="preserve">Kui paigaldatud </w:t>
      </w:r>
      <w:proofErr w:type="spellStart"/>
      <w:r w:rsidRPr="00096B24">
        <w:rPr>
          <w:rFonts w:ascii="Times New Roman" w:hAnsi="Times New Roman" w:cs="Times New Roman"/>
          <w:sz w:val="24"/>
          <w:szCs w:val="24"/>
        </w:rPr>
        <w:t>endoproteesi</w:t>
      </w:r>
      <w:proofErr w:type="spellEnd"/>
      <w:r w:rsidRPr="00096B24">
        <w:rPr>
          <w:rFonts w:ascii="Times New Roman" w:hAnsi="Times New Roman" w:cs="Times New Roman"/>
          <w:sz w:val="24"/>
          <w:szCs w:val="24"/>
        </w:rPr>
        <w:t xml:space="preserve"> NCSP kood (NF</w:t>
      </w:r>
      <w:r w:rsidR="00507CF5" w:rsidRPr="00096B24">
        <w:rPr>
          <w:rFonts w:ascii="Times New Roman" w:hAnsi="Times New Roman" w:cs="Times New Roman"/>
          <w:sz w:val="24"/>
          <w:szCs w:val="24"/>
        </w:rPr>
        <w:t>B koodid</w:t>
      </w:r>
      <w:r w:rsidRPr="00096B24">
        <w:rPr>
          <w:rFonts w:ascii="Times New Roman" w:hAnsi="Times New Roman" w:cs="Times New Roman"/>
          <w:sz w:val="24"/>
          <w:szCs w:val="24"/>
        </w:rPr>
        <w:t>) ja operatsiooni kestvuse kood (Z</w:t>
      </w:r>
      <w:r w:rsidR="00507CF5" w:rsidRPr="00096B24">
        <w:rPr>
          <w:rFonts w:ascii="Times New Roman" w:hAnsi="Times New Roman" w:cs="Times New Roman"/>
          <w:sz w:val="24"/>
          <w:szCs w:val="24"/>
        </w:rPr>
        <w:t>XE koodid</w:t>
      </w:r>
      <w:r w:rsidRPr="00096B24">
        <w:rPr>
          <w:rFonts w:ascii="Times New Roman" w:hAnsi="Times New Roman" w:cs="Times New Roman"/>
          <w:sz w:val="24"/>
          <w:szCs w:val="24"/>
        </w:rPr>
        <w:t xml:space="preserve">) olid kõikidel raviarvetel märgitud, siis muude koodide osas esines varieeruvusi. </w:t>
      </w:r>
    </w:p>
    <w:p w14:paraId="2933FEFE" w14:textId="06E7C71A" w:rsidR="00FD0026" w:rsidRPr="00096B24" w:rsidRDefault="00FF5ED7" w:rsidP="00096B24">
      <w:pPr>
        <w:spacing w:line="240" w:lineRule="auto"/>
        <w:jc w:val="both"/>
        <w:rPr>
          <w:rFonts w:ascii="Times New Roman" w:hAnsi="Times New Roman" w:cs="Times New Roman"/>
          <w:sz w:val="24"/>
          <w:szCs w:val="24"/>
        </w:rPr>
      </w:pPr>
      <w:r w:rsidRPr="00096B24">
        <w:rPr>
          <w:rFonts w:ascii="Times New Roman" w:hAnsi="Times New Roman" w:cs="Times New Roman"/>
          <w:sz w:val="24"/>
          <w:szCs w:val="24"/>
        </w:rPr>
        <w:t xml:space="preserve">Näited: </w:t>
      </w:r>
    </w:p>
    <w:p w14:paraId="5BE31024" w14:textId="26143E98" w:rsidR="00FF5ED7" w:rsidRPr="00096B24" w:rsidRDefault="007152A8" w:rsidP="00096B24">
      <w:pPr>
        <w:pStyle w:val="ListParagraph"/>
        <w:numPr>
          <w:ilvl w:val="0"/>
          <w:numId w:val="43"/>
        </w:numPr>
        <w:jc w:val="both"/>
      </w:pPr>
      <w:r w:rsidRPr="00096B24">
        <w:t>21</w:t>
      </w:r>
      <w:r w:rsidR="00FF5ED7" w:rsidRPr="00096B24">
        <w:t xml:space="preserve"> juhul ei olnud raviarvele NCSP järgi kodeeritud, kas tegemist oli plaanilise või erakorralise operatsiooniga. </w:t>
      </w:r>
    </w:p>
    <w:p w14:paraId="04CDE041" w14:textId="38A30622" w:rsidR="00FF5ED7" w:rsidRPr="00096B24" w:rsidRDefault="007152A8" w:rsidP="00096B24">
      <w:pPr>
        <w:pStyle w:val="ListParagraph"/>
        <w:numPr>
          <w:ilvl w:val="0"/>
          <w:numId w:val="43"/>
        </w:numPr>
        <w:jc w:val="both"/>
      </w:pPr>
      <w:r w:rsidRPr="00096B24">
        <w:t xml:space="preserve">Erinevad praktikad põie </w:t>
      </w:r>
      <w:proofErr w:type="spellStart"/>
      <w:r w:rsidRPr="00096B24">
        <w:t>kateteriseerimise</w:t>
      </w:r>
      <w:proofErr w:type="spellEnd"/>
      <w:r w:rsidRPr="00096B24">
        <w:t xml:space="preserve"> kodeerimisel, sh üldse põie </w:t>
      </w:r>
      <w:proofErr w:type="spellStart"/>
      <w:r w:rsidRPr="00096B24">
        <w:t>kateteriseerimise</w:t>
      </w:r>
      <w:proofErr w:type="spellEnd"/>
      <w:r w:rsidRPr="00096B24">
        <w:t xml:space="preserve"> NCSP järgi kodeerimisel (kood TKC20), </w:t>
      </w:r>
      <w:proofErr w:type="spellStart"/>
      <w:r w:rsidRPr="00096B24">
        <w:t>kateteriseerimiseks</w:t>
      </w:r>
      <w:proofErr w:type="spellEnd"/>
      <w:r w:rsidRPr="00096B24">
        <w:t xml:space="preserve"> kulunud aja kodeerimine (ZXE koodid) ja protseduuri erakorralisuse kodeerimine (ZXD00). </w:t>
      </w:r>
    </w:p>
    <w:p w14:paraId="10608361" w14:textId="2545E403" w:rsidR="00FF5ED7" w:rsidRPr="00096B24" w:rsidRDefault="00FF5ED7" w:rsidP="00096B24">
      <w:pPr>
        <w:pStyle w:val="ListParagraph"/>
        <w:numPr>
          <w:ilvl w:val="0"/>
          <w:numId w:val="43"/>
        </w:numPr>
        <w:jc w:val="both"/>
      </w:pPr>
      <w:proofErr w:type="spellStart"/>
      <w:r w:rsidRPr="00096B24">
        <w:t>Diatermia</w:t>
      </w:r>
      <w:proofErr w:type="spellEnd"/>
      <w:r w:rsidRPr="00096B24">
        <w:t xml:space="preserve"> kasutamise kodeerimi</w:t>
      </w:r>
      <w:r w:rsidR="007152A8" w:rsidRPr="00096B24">
        <w:t xml:space="preserve">se raviarvele. </w:t>
      </w:r>
    </w:p>
    <w:p w14:paraId="2B2DC7D6" w14:textId="6A0227F1" w:rsidR="00FF5ED7" w:rsidRPr="00096B24" w:rsidRDefault="00FF5ED7" w:rsidP="00096B24">
      <w:pPr>
        <w:pStyle w:val="ListParagraph"/>
        <w:numPr>
          <w:ilvl w:val="0"/>
          <w:numId w:val="43"/>
        </w:numPr>
        <w:jc w:val="both"/>
      </w:pPr>
      <w:r w:rsidRPr="00096B24">
        <w:t>Veejoa kasutamise kodeerimine</w:t>
      </w:r>
      <w:r w:rsidR="007152A8" w:rsidRPr="00096B24">
        <w:t xml:space="preserve"> raviarvele. </w:t>
      </w:r>
    </w:p>
    <w:p w14:paraId="4138FFA5" w14:textId="0FBB714A" w:rsidR="00507CF5" w:rsidRPr="00096B24" w:rsidRDefault="001256BC" w:rsidP="00096B24">
      <w:pPr>
        <w:pStyle w:val="ListParagraph"/>
        <w:numPr>
          <w:ilvl w:val="0"/>
          <w:numId w:val="43"/>
        </w:numPr>
        <w:jc w:val="both"/>
      </w:pPr>
      <w:proofErr w:type="spellStart"/>
      <w:r w:rsidRPr="00096B24">
        <w:t>Epiduraalkateetri</w:t>
      </w:r>
      <w:proofErr w:type="spellEnd"/>
      <w:r w:rsidRPr="00096B24">
        <w:t xml:space="preserve"> paigaldamise kodeerimine NCSP</w:t>
      </w:r>
      <w:r w:rsidR="007152A8" w:rsidRPr="00096B24">
        <w:t xml:space="preserve"> koodiga</w:t>
      </w:r>
      <w:r w:rsidRPr="00096B24">
        <w:t xml:space="preserve"> TAW99 „muu väike </w:t>
      </w:r>
      <w:proofErr w:type="spellStart"/>
      <w:r w:rsidRPr="00096B24">
        <w:t>neurokirurgiline</w:t>
      </w:r>
      <w:proofErr w:type="spellEnd"/>
      <w:r w:rsidRPr="00096B24">
        <w:t xml:space="preserve"> protseduur“</w:t>
      </w:r>
    </w:p>
    <w:p w14:paraId="24F5D929" w14:textId="77777777" w:rsidR="007152A8" w:rsidRPr="00096B24" w:rsidRDefault="007152A8" w:rsidP="00096B24">
      <w:pPr>
        <w:pStyle w:val="ListParagraph"/>
        <w:jc w:val="both"/>
      </w:pPr>
    </w:p>
    <w:p w14:paraId="331C21C7" w14:textId="4FEEE3A7" w:rsidR="00FF5ED7" w:rsidRPr="00096B24" w:rsidRDefault="00FD0026" w:rsidP="00096B24">
      <w:pPr>
        <w:spacing w:line="240" w:lineRule="auto"/>
        <w:jc w:val="both"/>
        <w:rPr>
          <w:rFonts w:ascii="Times New Roman" w:hAnsi="Times New Roman" w:cs="Times New Roman"/>
          <w:sz w:val="24"/>
          <w:szCs w:val="24"/>
        </w:rPr>
      </w:pPr>
      <w:r w:rsidRPr="00096B24">
        <w:rPr>
          <w:rFonts w:ascii="Times New Roman" w:hAnsi="Times New Roman" w:cs="Times New Roman"/>
          <w:sz w:val="24"/>
          <w:szCs w:val="24"/>
        </w:rPr>
        <w:t>Levinumad eksimused NCSP kodeerimisel</w:t>
      </w:r>
      <w:r w:rsidR="007152A8" w:rsidRPr="00096B24">
        <w:rPr>
          <w:rFonts w:ascii="Times New Roman" w:hAnsi="Times New Roman" w:cs="Times New Roman"/>
          <w:sz w:val="24"/>
          <w:szCs w:val="24"/>
        </w:rPr>
        <w:t xml:space="preserve"> olid </w:t>
      </w:r>
      <w:r w:rsidRPr="00096B24">
        <w:rPr>
          <w:rFonts w:ascii="Times New Roman" w:hAnsi="Times New Roman" w:cs="Times New Roman"/>
          <w:sz w:val="24"/>
          <w:szCs w:val="24"/>
        </w:rPr>
        <w:t>operatsiooniaja vale kodeering (</w:t>
      </w:r>
      <w:r w:rsidR="00507CF5" w:rsidRPr="00096B24">
        <w:rPr>
          <w:rFonts w:ascii="Times New Roman" w:hAnsi="Times New Roman" w:cs="Times New Roman"/>
          <w:sz w:val="24"/>
          <w:szCs w:val="24"/>
        </w:rPr>
        <w:t>16</w:t>
      </w:r>
      <w:r w:rsidRPr="00096B24">
        <w:rPr>
          <w:rFonts w:ascii="Times New Roman" w:hAnsi="Times New Roman" w:cs="Times New Roman"/>
          <w:sz w:val="24"/>
          <w:szCs w:val="24"/>
        </w:rPr>
        <w:t xml:space="preserve"> juhtu)</w:t>
      </w:r>
      <w:r w:rsidR="007152A8" w:rsidRPr="00096B24">
        <w:rPr>
          <w:rFonts w:ascii="Times New Roman" w:hAnsi="Times New Roman" w:cs="Times New Roman"/>
          <w:sz w:val="24"/>
          <w:szCs w:val="24"/>
        </w:rPr>
        <w:t>, kus k</w:t>
      </w:r>
      <w:r w:rsidR="00507CF5" w:rsidRPr="00096B24">
        <w:rPr>
          <w:rFonts w:ascii="Times New Roman" w:hAnsi="Times New Roman" w:cs="Times New Roman"/>
          <w:sz w:val="24"/>
          <w:szCs w:val="24"/>
        </w:rPr>
        <w:t xml:space="preserve">asutatud </w:t>
      </w:r>
      <w:r w:rsidRPr="00096B24">
        <w:rPr>
          <w:rFonts w:ascii="Times New Roman" w:hAnsi="Times New Roman" w:cs="Times New Roman"/>
          <w:sz w:val="24"/>
          <w:szCs w:val="24"/>
        </w:rPr>
        <w:t xml:space="preserve">ZXE </w:t>
      </w:r>
      <w:r w:rsidR="00507CF5" w:rsidRPr="00096B24">
        <w:rPr>
          <w:rFonts w:ascii="Times New Roman" w:hAnsi="Times New Roman" w:cs="Times New Roman"/>
          <w:sz w:val="24"/>
          <w:szCs w:val="24"/>
        </w:rPr>
        <w:t>kood ei vastanud operatsiooniprotokollis kajastatud operatsiooni kestusele</w:t>
      </w:r>
      <w:r w:rsidR="007152A8" w:rsidRPr="00096B24">
        <w:rPr>
          <w:rFonts w:ascii="Times New Roman" w:hAnsi="Times New Roman" w:cs="Times New Roman"/>
          <w:sz w:val="24"/>
          <w:szCs w:val="24"/>
        </w:rPr>
        <w:t xml:space="preserve">, ja </w:t>
      </w:r>
      <w:r w:rsidR="0006118A" w:rsidRPr="00096B24">
        <w:rPr>
          <w:rFonts w:ascii="Times New Roman" w:hAnsi="Times New Roman" w:cs="Times New Roman"/>
          <w:sz w:val="24"/>
          <w:szCs w:val="24"/>
        </w:rPr>
        <w:t>opereeritud kehapoole kodeerimise eksimus või kodeerimata jätmine (</w:t>
      </w:r>
      <w:r w:rsidR="00507CF5" w:rsidRPr="00096B24">
        <w:rPr>
          <w:rFonts w:ascii="Times New Roman" w:hAnsi="Times New Roman" w:cs="Times New Roman"/>
          <w:sz w:val="24"/>
          <w:szCs w:val="24"/>
        </w:rPr>
        <w:t xml:space="preserve">28 </w:t>
      </w:r>
      <w:r w:rsidR="0006118A" w:rsidRPr="00096B24">
        <w:rPr>
          <w:rFonts w:ascii="Times New Roman" w:hAnsi="Times New Roman" w:cs="Times New Roman"/>
          <w:sz w:val="24"/>
          <w:szCs w:val="24"/>
        </w:rPr>
        <w:t>juhtu)</w:t>
      </w:r>
      <w:r w:rsidR="00507CF5" w:rsidRPr="00096B24">
        <w:rPr>
          <w:rFonts w:ascii="Times New Roman" w:hAnsi="Times New Roman" w:cs="Times New Roman"/>
          <w:sz w:val="24"/>
          <w:szCs w:val="24"/>
        </w:rPr>
        <w:t xml:space="preserve">. </w:t>
      </w:r>
    </w:p>
    <w:p w14:paraId="0199B136" w14:textId="74157FD4" w:rsidR="005169FF" w:rsidRPr="00096B24" w:rsidRDefault="00EE2818" w:rsidP="00096B24">
      <w:pPr>
        <w:pStyle w:val="Heading1"/>
        <w:jc w:val="both"/>
        <w:rPr>
          <w:rFonts w:cs="Times New Roman"/>
          <w:szCs w:val="24"/>
        </w:rPr>
      </w:pPr>
      <w:r w:rsidRPr="00096B24">
        <w:rPr>
          <w:rStyle w:val="Heading1Char"/>
          <w:rFonts w:cs="Times New Roman"/>
          <w:b/>
          <w:szCs w:val="24"/>
        </w:rPr>
        <w:t xml:space="preserve">4.2.6 </w:t>
      </w:r>
      <w:r w:rsidR="005169FF" w:rsidRPr="00096B24">
        <w:rPr>
          <w:rFonts w:cs="Times New Roman"/>
          <w:szCs w:val="24"/>
        </w:rPr>
        <w:t xml:space="preserve"> Raviarve vormistamine</w:t>
      </w:r>
    </w:p>
    <w:p w14:paraId="1704687A" w14:textId="36721358" w:rsidR="007152A8" w:rsidRPr="00096B24" w:rsidRDefault="007152A8" w:rsidP="00096B24">
      <w:pPr>
        <w:spacing w:line="240" w:lineRule="auto"/>
        <w:jc w:val="both"/>
        <w:rPr>
          <w:rFonts w:ascii="Times New Roman" w:hAnsi="Times New Roman" w:cs="Times New Roman"/>
          <w:color w:val="000000" w:themeColor="text1"/>
          <w:sz w:val="24"/>
          <w:szCs w:val="24"/>
        </w:rPr>
      </w:pPr>
      <w:r w:rsidRPr="00096B24">
        <w:rPr>
          <w:rFonts w:ascii="Times New Roman" w:hAnsi="Times New Roman" w:cs="Times New Roman"/>
          <w:color w:val="000000" w:themeColor="text1"/>
          <w:sz w:val="24"/>
          <w:szCs w:val="24"/>
        </w:rPr>
        <w:t xml:space="preserve">Hinnati raviarvele kantud tervishoiuteenuse ja nende hulkade vastavust ravidokumentides dokumenteeritule, ravile saabumise ja suunamise koodide vastavust ravidokumendi kannetele. </w:t>
      </w:r>
    </w:p>
    <w:p w14:paraId="79065F04" w14:textId="4502C243" w:rsidR="00A637D1" w:rsidRPr="00096B24" w:rsidRDefault="00A637D1" w:rsidP="00096B24">
      <w:pPr>
        <w:jc w:val="both"/>
        <w:rPr>
          <w:rFonts w:ascii="Times New Roman" w:hAnsi="Times New Roman" w:cs="Times New Roman"/>
          <w:color w:val="000000" w:themeColor="text1"/>
          <w:sz w:val="24"/>
          <w:szCs w:val="24"/>
        </w:rPr>
      </w:pPr>
      <w:r w:rsidRPr="00096B24">
        <w:rPr>
          <w:rFonts w:ascii="Times New Roman" w:hAnsi="Times New Roman" w:cs="Times New Roman"/>
          <w:color w:val="000000" w:themeColor="text1"/>
          <w:sz w:val="24"/>
          <w:szCs w:val="24"/>
        </w:rPr>
        <w:t xml:space="preserve">Kahel juhul oli </w:t>
      </w:r>
      <w:r w:rsidR="00EC6D33" w:rsidRPr="00096B24">
        <w:rPr>
          <w:rFonts w:ascii="Times New Roman" w:hAnsi="Times New Roman" w:cs="Times New Roman"/>
          <w:color w:val="000000" w:themeColor="text1"/>
          <w:sz w:val="24"/>
          <w:szCs w:val="24"/>
        </w:rPr>
        <w:t xml:space="preserve">haigusloo alusel teostatud puusaliigese esmane </w:t>
      </w:r>
      <w:proofErr w:type="spellStart"/>
      <w:r w:rsidR="00EC6D33" w:rsidRPr="00096B24">
        <w:rPr>
          <w:rFonts w:ascii="Times New Roman" w:hAnsi="Times New Roman" w:cs="Times New Roman"/>
          <w:color w:val="000000" w:themeColor="text1"/>
          <w:sz w:val="24"/>
          <w:szCs w:val="24"/>
        </w:rPr>
        <w:t>endoproteesimine</w:t>
      </w:r>
      <w:proofErr w:type="spellEnd"/>
      <w:r w:rsidR="00EC6D33" w:rsidRPr="00096B24">
        <w:rPr>
          <w:rFonts w:ascii="Times New Roman" w:hAnsi="Times New Roman" w:cs="Times New Roman"/>
          <w:color w:val="000000" w:themeColor="text1"/>
          <w:sz w:val="24"/>
          <w:szCs w:val="24"/>
        </w:rPr>
        <w:t xml:space="preserve"> osalise proteesiga (poolprotees). Raviarvele oli õigesti lisatud </w:t>
      </w:r>
      <w:r w:rsidRPr="00096B24">
        <w:rPr>
          <w:rFonts w:ascii="Times New Roman" w:hAnsi="Times New Roman" w:cs="Times New Roman"/>
          <w:color w:val="000000" w:themeColor="text1"/>
          <w:sz w:val="24"/>
          <w:szCs w:val="24"/>
        </w:rPr>
        <w:t>NCSP ko</w:t>
      </w:r>
      <w:r w:rsidR="00EC6D33" w:rsidRPr="00096B24">
        <w:rPr>
          <w:rFonts w:ascii="Times New Roman" w:hAnsi="Times New Roman" w:cs="Times New Roman"/>
          <w:color w:val="000000" w:themeColor="text1"/>
          <w:sz w:val="24"/>
          <w:szCs w:val="24"/>
        </w:rPr>
        <w:t>od NFB12</w:t>
      </w:r>
      <w:r w:rsidRPr="00096B24">
        <w:rPr>
          <w:rFonts w:ascii="Times New Roman" w:hAnsi="Times New Roman" w:cs="Times New Roman"/>
          <w:color w:val="000000" w:themeColor="text1"/>
          <w:sz w:val="24"/>
          <w:szCs w:val="24"/>
        </w:rPr>
        <w:t xml:space="preserve"> „puusaliigese esmane proteesimine osalise proteesiga kasutades tsementi, </w:t>
      </w:r>
      <w:proofErr w:type="spellStart"/>
      <w:r w:rsidRPr="00096B24">
        <w:rPr>
          <w:rFonts w:ascii="Times New Roman" w:hAnsi="Times New Roman" w:cs="Times New Roman"/>
          <w:color w:val="000000" w:themeColor="text1"/>
          <w:sz w:val="24"/>
          <w:szCs w:val="24"/>
        </w:rPr>
        <w:t>distaalne</w:t>
      </w:r>
      <w:proofErr w:type="spellEnd"/>
      <w:r w:rsidRPr="00096B24">
        <w:rPr>
          <w:rFonts w:ascii="Times New Roman" w:hAnsi="Times New Roman" w:cs="Times New Roman"/>
          <w:color w:val="000000" w:themeColor="text1"/>
          <w:sz w:val="24"/>
          <w:szCs w:val="24"/>
        </w:rPr>
        <w:t xml:space="preserve"> osa“ (kood NFB12)</w:t>
      </w:r>
      <w:r w:rsidR="00EC6D33" w:rsidRPr="00096B24">
        <w:rPr>
          <w:rFonts w:ascii="Times New Roman" w:hAnsi="Times New Roman" w:cs="Times New Roman"/>
          <w:color w:val="000000" w:themeColor="text1"/>
          <w:sz w:val="24"/>
          <w:szCs w:val="24"/>
        </w:rPr>
        <w:t xml:space="preserve"> kuid kasutatud vale operatsioonikoodi - ON2139 „puusaliigese tsementeeritava </w:t>
      </w:r>
      <w:proofErr w:type="spellStart"/>
      <w:r w:rsidR="00EC6D33" w:rsidRPr="00096B24">
        <w:rPr>
          <w:rFonts w:ascii="Times New Roman" w:hAnsi="Times New Roman" w:cs="Times New Roman"/>
          <w:color w:val="000000" w:themeColor="text1"/>
          <w:sz w:val="24"/>
          <w:szCs w:val="24"/>
        </w:rPr>
        <w:t>endoproteesi</w:t>
      </w:r>
      <w:proofErr w:type="spellEnd"/>
      <w:r w:rsidR="00EC6D33" w:rsidRPr="00096B24">
        <w:rPr>
          <w:rFonts w:ascii="Times New Roman" w:hAnsi="Times New Roman" w:cs="Times New Roman"/>
          <w:color w:val="000000" w:themeColor="text1"/>
          <w:sz w:val="24"/>
          <w:szCs w:val="24"/>
        </w:rPr>
        <w:t xml:space="preserve"> paigaldamine“ asemel oli õige ON2144 „poolproteesi paigaldamine suurele liigesele“. </w:t>
      </w:r>
    </w:p>
    <w:p w14:paraId="61B93C51" w14:textId="00F50CA5" w:rsidR="00A637D1" w:rsidRPr="00096B24" w:rsidRDefault="00EC6D33" w:rsidP="00096B24">
      <w:pPr>
        <w:jc w:val="both"/>
        <w:rPr>
          <w:rFonts w:ascii="Times New Roman" w:hAnsi="Times New Roman" w:cs="Times New Roman"/>
          <w:color w:val="000000" w:themeColor="text1"/>
          <w:sz w:val="24"/>
          <w:szCs w:val="24"/>
        </w:rPr>
      </w:pPr>
      <w:r w:rsidRPr="00096B24">
        <w:rPr>
          <w:rFonts w:ascii="Times New Roman" w:hAnsi="Times New Roman" w:cs="Times New Roman"/>
          <w:color w:val="000000" w:themeColor="text1"/>
          <w:sz w:val="24"/>
          <w:szCs w:val="24"/>
        </w:rPr>
        <w:t xml:space="preserve">Esines ka vale abivahendi kodeerimisi raviarvele TTL- i alusel. Ühel juhul oli </w:t>
      </w:r>
      <w:r w:rsidR="00A637D1" w:rsidRPr="00096B24">
        <w:rPr>
          <w:rFonts w:ascii="Times New Roman" w:hAnsi="Times New Roman" w:cs="Times New Roman"/>
          <w:color w:val="000000" w:themeColor="text1"/>
          <w:sz w:val="24"/>
          <w:szCs w:val="24"/>
        </w:rPr>
        <w:t xml:space="preserve">arvele kantud abivahend 2618L „reieluukaela mediaalse murru implantaat“. Haigusloo sissekannete alusel kasutati abivahendit 2651L „Standardne tsemendivaba puusaliigese </w:t>
      </w:r>
      <w:proofErr w:type="spellStart"/>
      <w:r w:rsidR="00A637D1" w:rsidRPr="00096B24">
        <w:rPr>
          <w:rFonts w:ascii="Times New Roman" w:hAnsi="Times New Roman" w:cs="Times New Roman"/>
          <w:color w:val="000000" w:themeColor="text1"/>
          <w:sz w:val="24"/>
          <w:szCs w:val="24"/>
        </w:rPr>
        <w:t>endoprotees</w:t>
      </w:r>
      <w:proofErr w:type="spellEnd"/>
      <w:r w:rsidR="00A637D1" w:rsidRPr="00096B24">
        <w:rPr>
          <w:rFonts w:ascii="Times New Roman" w:hAnsi="Times New Roman" w:cs="Times New Roman"/>
          <w:color w:val="000000" w:themeColor="text1"/>
          <w:sz w:val="24"/>
          <w:szCs w:val="24"/>
        </w:rPr>
        <w:t xml:space="preserve">“. </w:t>
      </w:r>
      <w:r w:rsidRPr="00096B24">
        <w:rPr>
          <w:rFonts w:ascii="Times New Roman" w:hAnsi="Times New Roman" w:cs="Times New Roman"/>
          <w:color w:val="000000" w:themeColor="text1"/>
          <w:sz w:val="24"/>
          <w:szCs w:val="24"/>
        </w:rPr>
        <w:t>Teises h</w:t>
      </w:r>
      <w:r w:rsidR="00A637D1" w:rsidRPr="00096B24">
        <w:rPr>
          <w:rFonts w:ascii="Times New Roman" w:hAnsi="Times New Roman" w:cs="Times New Roman"/>
          <w:color w:val="000000" w:themeColor="text1"/>
          <w:sz w:val="24"/>
          <w:szCs w:val="24"/>
        </w:rPr>
        <w:t xml:space="preserve">aigusloos oli operatsiooniprotokolli alusel paigaldatud hübriid-protees, mistõttu </w:t>
      </w:r>
      <w:r w:rsidRPr="00096B24">
        <w:rPr>
          <w:rFonts w:ascii="Times New Roman" w:hAnsi="Times New Roman" w:cs="Times New Roman"/>
          <w:color w:val="000000" w:themeColor="text1"/>
          <w:sz w:val="24"/>
          <w:szCs w:val="24"/>
        </w:rPr>
        <w:t xml:space="preserve">oli raviarvele õigem kodeerida </w:t>
      </w:r>
      <w:r w:rsidR="00A637D1" w:rsidRPr="00096B24">
        <w:rPr>
          <w:rFonts w:ascii="Times New Roman" w:hAnsi="Times New Roman" w:cs="Times New Roman"/>
          <w:color w:val="000000" w:themeColor="text1"/>
          <w:sz w:val="24"/>
          <w:szCs w:val="24"/>
        </w:rPr>
        <w:t xml:space="preserve">abivahendi 2650L „standardne tsementeeritav puusaliigese </w:t>
      </w:r>
      <w:proofErr w:type="spellStart"/>
      <w:r w:rsidR="00A637D1" w:rsidRPr="00096B24">
        <w:rPr>
          <w:rFonts w:ascii="Times New Roman" w:hAnsi="Times New Roman" w:cs="Times New Roman"/>
          <w:color w:val="000000" w:themeColor="text1"/>
          <w:sz w:val="24"/>
          <w:szCs w:val="24"/>
        </w:rPr>
        <w:t>endoprotees</w:t>
      </w:r>
      <w:proofErr w:type="spellEnd"/>
      <w:r w:rsidR="00A637D1" w:rsidRPr="00096B24">
        <w:rPr>
          <w:rFonts w:ascii="Times New Roman" w:hAnsi="Times New Roman" w:cs="Times New Roman"/>
          <w:color w:val="000000" w:themeColor="text1"/>
          <w:sz w:val="24"/>
          <w:szCs w:val="24"/>
        </w:rPr>
        <w:t>“ asemel 2652L „puusaliigese hübriidprotees“.</w:t>
      </w:r>
    </w:p>
    <w:p w14:paraId="22F4FCD9" w14:textId="165C21DC" w:rsidR="00C1196B" w:rsidRPr="00096B24" w:rsidRDefault="00EC6D33" w:rsidP="00096B24">
      <w:pPr>
        <w:jc w:val="both"/>
        <w:rPr>
          <w:rFonts w:ascii="Times New Roman" w:hAnsi="Times New Roman" w:cs="Times New Roman"/>
          <w:color w:val="000000" w:themeColor="text1"/>
          <w:sz w:val="24"/>
          <w:szCs w:val="24"/>
        </w:rPr>
      </w:pPr>
      <w:r w:rsidRPr="00096B24">
        <w:rPr>
          <w:rFonts w:ascii="Times New Roman" w:hAnsi="Times New Roman" w:cs="Times New Roman"/>
          <w:color w:val="000000" w:themeColor="text1"/>
          <w:sz w:val="24"/>
          <w:szCs w:val="24"/>
        </w:rPr>
        <w:lastRenderedPageBreak/>
        <w:t xml:space="preserve">Eraldi tähelepanu pälvis ühe asutuse abivahendi kodeerimispraktika erakorraliselt teostatud </w:t>
      </w:r>
      <w:r w:rsidR="00C1196B" w:rsidRPr="00096B24">
        <w:rPr>
          <w:rFonts w:ascii="Times New Roman" w:hAnsi="Times New Roman" w:cs="Times New Roman"/>
          <w:color w:val="000000" w:themeColor="text1"/>
          <w:sz w:val="24"/>
          <w:szCs w:val="24"/>
        </w:rPr>
        <w:t xml:space="preserve">puusaliigese </w:t>
      </w:r>
      <w:proofErr w:type="spellStart"/>
      <w:r w:rsidR="00C1196B" w:rsidRPr="00096B24">
        <w:rPr>
          <w:rFonts w:ascii="Times New Roman" w:hAnsi="Times New Roman" w:cs="Times New Roman"/>
          <w:color w:val="000000" w:themeColor="text1"/>
          <w:sz w:val="24"/>
          <w:szCs w:val="24"/>
        </w:rPr>
        <w:t>endoproteesimise</w:t>
      </w:r>
      <w:proofErr w:type="spellEnd"/>
      <w:r w:rsidR="00C1196B" w:rsidRPr="00096B24">
        <w:rPr>
          <w:rFonts w:ascii="Times New Roman" w:hAnsi="Times New Roman" w:cs="Times New Roman"/>
          <w:color w:val="000000" w:themeColor="text1"/>
          <w:sz w:val="24"/>
          <w:szCs w:val="24"/>
        </w:rPr>
        <w:t xml:space="preserve"> haigusjuhtude puhul</w:t>
      </w:r>
      <w:r w:rsidRPr="00096B24">
        <w:rPr>
          <w:rFonts w:ascii="Times New Roman" w:hAnsi="Times New Roman" w:cs="Times New Roman"/>
          <w:color w:val="000000" w:themeColor="text1"/>
          <w:sz w:val="24"/>
          <w:szCs w:val="24"/>
        </w:rPr>
        <w:t>. O</w:t>
      </w:r>
      <w:r w:rsidR="00C1196B" w:rsidRPr="00096B24">
        <w:rPr>
          <w:rFonts w:ascii="Times New Roman" w:hAnsi="Times New Roman" w:cs="Times New Roman"/>
          <w:color w:val="000000" w:themeColor="text1"/>
          <w:sz w:val="24"/>
          <w:szCs w:val="24"/>
        </w:rPr>
        <w:t xml:space="preserve">peratsiooniprotokollide aluse </w:t>
      </w:r>
      <w:r w:rsidRPr="00096B24">
        <w:rPr>
          <w:rFonts w:ascii="Times New Roman" w:hAnsi="Times New Roman" w:cs="Times New Roman"/>
          <w:color w:val="000000" w:themeColor="text1"/>
          <w:sz w:val="24"/>
          <w:szCs w:val="24"/>
        </w:rPr>
        <w:t xml:space="preserve">teostati </w:t>
      </w:r>
      <w:r w:rsidR="00C1196B" w:rsidRPr="00096B24">
        <w:rPr>
          <w:rFonts w:ascii="Times New Roman" w:hAnsi="Times New Roman" w:cs="Times New Roman"/>
          <w:color w:val="000000" w:themeColor="text1"/>
          <w:sz w:val="24"/>
          <w:szCs w:val="24"/>
        </w:rPr>
        <w:t>patsientidele poolprotees</w:t>
      </w:r>
      <w:r w:rsidRPr="00096B24">
        <w:rPr>
          <w:rFonts w:ascii="Times New Roman" w:hAnsi="Times New Roman" w:cs="Times New Roman"/>
          <w:color w:val="000000" w:themeColor="text1"/>
          <w:sz w:val="24"/>
          <w:szCs w:val="24"/>
        </w:rPr>
        <w:t>i paigaldamine</w:t>
      </w:r>
      <w:r w:rsidR="00C1196B" w:rsidRPr="00096B24">
        <w:rPr>
          <w:rFonts w:ascii="Times New Roman" w:hAnsi="Times New Roman" w:cs="Times New Roman"/>
          <w:color w:val="000000" w:themeColor="text1"/>
          <w:sz w:val="24"/>
          <w:szCs w:val="24"/>
        </w:rPr>
        <w:t>, millele vastavad TTL-</w:t>
      </w:r>
      <w:proofErr w:type="spellStart"/>
      <w:r w:rsidR="00C1196B" w:rsidRPr="00096B24">
        <w:rPr>
          <w:rFonts w:ascii="Times New Roman" w:hAnsi="Times New Roman" w:cs="Times New Roman"/>
          <w:color w:val="000000" w:themeColor="text1"/>
          <w:sz w:val="24"/>
          <w:szCs w:val="24"/>
        </w:rPr>
        <w:t>is</w:t>
      </w:r>
      <w:proofErr w:type="spellEnd"/>
      <w:r w:rsidR="00C1196B" w:rsidRPr="00096B24">
        <w:rPr>
          <w:rFonts w:ascii="Times New Roman" w:hAnsi="Times New Roman" w:cs="Times New Roman"/>
          <w:color w:val="000000" w:themeColor="text1"/>
          <w:sz w:val="24"/>
          <w:szCs w:val="24"/>
        </w:rPr>
        <w:t xml:space="preserve"> operatsioonikood (ON2144 „poolproteesi paigaldamine suurele liigesele“) ja NCSP kood (NFB12 „Puusaliigese esmane proteesimine osalise proteesiga kasutades tsementi; </w:t>
      </w:r>
      <w:proofErr w:type="spellStart"/>
      <w:r w:rsidR="00C1196B" w:rsidRPr="00096B24">
        <w:rPr>
          <w:rFonts w:ascii="Times New Roman" w:hAnsi="Times New Roman" w:cs="Times New Roman"/>
          <w:color w:val="000000" w:themeColor="text1"/>
          <w:sz w:val="24"/>
          <w:szCs w:val="24"/>
        </w:rPr>
        <w:t>distaalne</w:t>
      </w:r>
      <w:proofErr w:type="spellEnd"/>
      <w:r w:rsidR="00C1196B" w:rsidRPr="00096B24">
        <w:rPr>
          <w:rFonts w:ascii="Times New Roman" w:hAnsi="Times New Roman" w:cs="Times New Roman"/>
          <w:color w:val="000000" w:themeColor="text1"/>
          <w:sz w:val="24"/>
          <w:szCs w:val="24"/>
        </w:rPr>
        <w:t xml:space="preserve"> osa). Raviarvetele o</w:t>
      </w:r>
      <w:r w:rsidRPr="00096B24">
        <w:rPr>
          <w:rFonts w:ascii="Times New Roman" w:hAnsi="Times New Roman" w:cs="Times New Roman"/>
          <w:color w:val="000000" w:themeColor="text1"/>
          <w:sz w:val="24"/>
          <w:szCs w:val="24"/>
        </w:rPr>
        <w:t>li</w:t>
      </w:r>
      <w:r w:rsidR="00C1196B" w:rsidRPr="00096B24">
        <w:rPr>
          <w:rFonts w:ascii="Times New Roman" w:hAnsi="Times New Roman" w:cs="Times New Roman"/>
          <w:color w:val="000000" w:themeColor="text1"/>
          <w:sz w:val="24"/>
          <w:szCs w:val="24"/>
        </w:rPr>
        <w:t xml:space="preserve"> abivahendina kodeeritud 2618L „Reieluukaela mediaalse murru implantaat“. </w:t>
      </w:r>
    </w:p>
    <w:p w14:paraId="08AB74CD" w14:textId="2B6208F6" w:rsidR="00C1196B" w:rsidRPr="00096B24" w:rsidRDefault="00C1196B" w:rsidP="00096B24">
      <w:pPr>
        <w:spacing w:line="240" w:lineRule="auto"/>
        <w:jc w:val="both"/>
        <w:rPr>
          <w:rFonts w:ascii="Times New Roman" w:hAnsi="Times New Roman" w:cs="Times New Roman"/>
          <w:color w:val="000000" w:themeColor="text1"/>
          <w:sz w:val="24"/>
          <w:szCs w:val="24"/>
        </w:rPr>
      </w:pPr>
      <w:r w:rsidRPr="00096B24">
        <w:rPr>
          <w:rFonts w:ascii="Times New Roman" w:hAnsi="Times New Roman" w:cs="Times New Roman"/>
          <w:color w:val="000000" w:themeColor="text1"/>
          <w:sz w:val="24"/>
          <w:szCs w:val="24"/>
        </w:rPr>
        <w:t xml:space="preserve">Nimetatud operatsiooni- ja NCSP koodiga on korrektne kasutada abivahendi koode 2650L või 2651L sõltuvalt sellest, kas puusaliigese </w:t>
      </w:r>
      <w:proofErr w:type="spellStart"/>
      <w:r w:rsidRPr="00096B24">
        <w:rPr>
          <w:rFonts w:ascii="Times New Roman" w:hAnsi="Times New Roman" w:cs="Times New Roman"/>
          <w:color w:val="000000" w:themeColor="text1"/>
          <w:sz w:val="24"/>
          <w:szCs w:val="24"/>
        </w:rPr>
        <w:t>endoprotees</w:t>
      </w:r>
      <w:proofErr w:type="spellEnd"/>
      <w:r w:rsidRPr="00096B24">
        <w:rPr>
          <w:rFonts w:ascii="Times New Roman" w:hAnsi="Times New Roman" w:cs="Times New Roman"/>
          <w:color w:val="000000" w:themeColor="text1"/>
          <w:sz w:val="24"/>
          <w:szCs w:val="24"/>
        </w:rPr>
        <w:t xml:space="preserve"> oli tsementeeritav või mitte. Tsemendi kasutamisel tuleb lisada ka kood 2678L. See tuleneb asjaolust, et TTL ei erista abivahendina puusaliigese täis- ja poolproteese. Kirjeldatud kominatsiooni puhul grupeerub haigusjuht 209E või 209D DRG-</w:t>
      </w:r>
      <w:proofErr w:type="spellStart"/>
      <w:r w:rsidRPr="00096B24">
        <w:rPr>
          <w:rFonts w:ascii="Times New Roman" w:hAnsi="Times New Roman" w:cs="Times New Roman"/>
          <w:color w:val="000000" w:themeColor="text1"/>
          <w:sz w:val="24"/>
          <w:szCs w:val="24"/>
        </w:rPr>
        <w:t>sse</w:t>
      </w:r>
      <w:proofErr w:type="spellEnd"/>
      <w:r w:rsidRPr="00096B24">
        <w:rPr>
          <w:rFonts w:ascii="Times New Roman" w:hAnsi="Times New Roman" w:cs="Times New Roman"/>
          <w:color w:val="000000" w:themeColor="text1"/>
          <w:sz w:val="24"/>
          <w:szCs w:val="24"/>
        </w:rPr>
        <w:t xml:space="preserve"> sõltuvalt kaasuvate haiguste puudumisest või olemasolust. </w:t>
      </w:r>
    </w:p>
    <w:p w14:paraId="5BC7A730" w14:textId="651D0F78" w:rsidR="00C1196B" w:rsidRPr="00096B24" w:rsidRDefault="00C1196B" w:rsidP="00096B24">
      <w:pPr>
        <w:spacing w:line="240" w:lineRule="auto"/>
        <w:jc w:val="both"/>
        <w:rPr>
          <w:rFonts w:ascii="Times New Roman" w:hAnsi="Times New Roman" w:cs="Times New Roman"/>
          <w:color w:val="000000" w:themeColor="text1"/>
          <w:sz w:val="24"/>
          <w:szCs w:val="24"/>
        </w:rPr>
      </w:pPr>
      <w:r w:rsidRPr="00096B24">
        <w:rPr>
          <w:rFonts w:ascii="Times New Roman" w:hAnsi="Times New Roman" w:cs="Times New Roman"/>
          <w:color w:val="000000" w:themeColor="text1"/>
          <w:sz w:val="24"/>
          <w:szCs w:val="24"/>
        </w:rPr>
        <w:t xml:space="preserve">Abivahendiga 2618L on korrektne kasutada operatsioonikoodi ON2130 „reieluukaela </w:t>
      </w:r>
      <w:proofErr w:type="spellStart"/>
      <w:r w:rsidRPr="00096B24">
        <w:rPr>
          <w:rFonts w:ascii="Times New Roman" w:hAnsi="Times New Roman" w:cs="Times New Roman"/>
          <w:color w:val="000000" w:themeColor="text1"/>
          <w:sz w:val="24"/>
          <w:szCs w:val="24"/>
        </w:rPr>
        <w:t>osteosüntees</w:t>
      </w:r>
      <w:proofErr w:type="spellEnd"/>
      <w:r w:rsidRPr="00096B24">
        <w:rPr>
          <w:rFonts w:ascii="Times New Roman" w:hAnsi="Times New Roman" w:cs="Times New Roman"/>
          <w:color w:val="000000" w:themeColor="text1"/>
          <w:sz w:val="24"/>
          <w:szCs w:val="24"/>
        </w:rPr>
        <w:t xml:space="preserve">“ ja NCSP NFJ-rühma koodi. Põhidiagnoosiga S72.0 ja kirjeldatud operatsiooni ning NCSP koodiga grupeerub haigusjuht 210A „vaagna, puusa ja reieluu traumaga seotud suured operatsioonid, vanus &gt;17, </w:t>
      </w:r>
      <w:proofErr w:type="spellStart"/>
      <w:r w:rsidRPr="00096B24">
        <w:rPr>
          <w:rFonts w:ascii="Times New Roman" w:hAnsi="Times New Roman" w:cs="Times New Roman"/>
          <w:color w:val="000000" w:themeColor="text1"/>
          <w:sz w:val="24"/>
          <w:szCs w:val="24"/>
        </w:rPr>
        <w:t>kht-ga</w:t>
      </w:r>
      <w:proofErr w:type="spellEnd"/>
      <w:r w:rsidRPr="00096B24">
        <w:rPr>
          <w:rFonts w:ascii="Times New Roman" w:hAnsi="Times New Roman" w:cs="Times New Roman"/>
          <w:color w:val="000000" w:themeColor="text1"/>
          <w:sz w:val="24"/>
          <w:szCs w:val="24"/>
        </w:rPr>
        <w:t xml:space="preserve">“ või 211A „vaagna, puusa ja reieluu traumaga seotud suured operatsioonid, vanus &gt;17, </w:t>
      </w:r>
      <w:proofErr w:type="spellStart"/>
      <w:r w:rsidRPr="00096B24">
        <w:rPr>
          <w:rFonts w:ascii="Times New Roman" w:hAnsi="Times New Roman" w:cs="Times New Roman"/>
          <w:color w:val="000000" w:themeColor="text1"/>
          <w:sz w:val="24"/>
          <w:szCs w:val="24"/>
        </w:rPr>
        <w:t>kht</w:t>
      </w:r>
      <w:proofErr w:type="spellEnd"/>
      <w:r w:rsidRPr="00096B24">
        <w:rPr>
          <w:rFonts w:ascii="Times New Roman" w:hAnsi="Times New Roman" w:cs="Times New Roman"/>
          <w:color w:val="000000" w:themeColor="text1"/>
          <w:sz w:val="24"/>
          <w:szCs w:val="24"/>
        </w:rPr>
        <w:t>-ta“ DRG-</w:t>
      </w:r>
      <w:proofErr w:type="spellStart"/>
      <w:r w:rsidRPr="00096B24">
        <w:rPr>
          <w:rFonts w:ascii="Times New Roman" w:hAnsi="Times New Roman" w:cs="Times New Roman"/>
          <w:color w:val="000000" w:themeColor="text1"/>
          <w:sz w:val="24"/>
          <w:szCs w:val="24"/>
        </w:rPr>
        <w:t>sse</w:t>
      </w:r>
      <w:proofErr w:type="spellEnd"/>
      <w:r w:rsidRPr="00096B24">
        <w:rPr>
          <w:rFonts w:ascii="Times New Roman" w:hAnsi="Times New Roman" w:cs="Times New Roman"/>
          <w:color w:val="000000" w:themeColor="text1"/>
          <w:sz w:val="24"/>
          <w:szCs w:val="24"/>
        </w:rPr>
        <w:t xml:space="preserve">.  </w:t>
      </w:r>
    </w:p>
    <w:p w14:paraId="7B67BC93" w14:textId="77777777" w:rsidR="00C10504" w:rsidRPr="00096B24" w:rsidRDefault="00C10504" w:rsidP="00096B24">
      <w:pPr>
        <w:spacing w:line="240" w:lineRule="auto"/>
        <w:jc w:val="both"/>
        <w:rPr>
          <w:rFonts w:ascii="Times New Roman" w:hAnsi="Times New Roman" w:cs="Times New Roman"/>
          <w:color w:val="7030A0"/>
          <w:sz w:val="24"/>
          <w:szCs w:val="24"/>
        </w:rPr>
      </w:pPr>
    </w:p>
    <w:p w14:paraId="222154C9" w14:textId="1DB2614B" w:rsidR="00606E68" w:rsidRPr="00096B24" w:rsidRDefault="00C10504" w:rsidP="00096B24">
      <w:pPr>
        <w:spacing w:line="240" w:lineRule="auto"/>
        <w:jc w:val="both"/>
        <w:rPr>
          <w:rFonts w:ascii="Times New Roman" w:hAnsi="Times New Roman" w:cs="Times New Roman"/>
          <w:sz w:val="24"/>
          <w:szCs w:val="24"/>
        </w:rPr>
      </w:pPr>
      <w:r w:rsidRPr="00096B24">
        <w:rPr>
          <w:rFonts w:ascii="Times New Roman" w:hAnsi="Times New Roman" w:cs="Times New Roman"/>
          <w:sz w:val="24"/>
          <w:szCs w:val="24"/>
        </w:rPr>
        <w:t>22</w:t>
      </w:r>
      <w:r w:rsidR="002057CB" w:rsidRPr="00096B24">
        <w:rPr>
          <w:rFonts w:ascii="Times New Roman" w:hAnsi="Times New Roman" w:cs="Times New Roman"/>
          <w:sz w:val="24"/>
          <w:szCs w:val="24"/>
        </w:rPr>
        <w:t xml:space="preserve"> juhul esines erinevusi raviarvele kodeeritud ravile saabumise või ravi lõpetamise põhjuste vahel.</w:t>
      </w:r>
    </w:p>
    <w:p w14:paraId="700968B4" w14:textId="6378A674" w:rsidR="00C10504" w:rsidRPr="00096B24" w:rsidRDefault="00606E68" w:rsidP="00096B24">
      <w:pPr>
        <w:spacing w:line="240" w:lineRule="auto"/>
        <w:jc w:val="both"/>
        <w:rPr>
          <w:rFonts w:ascii="Times New Roman" w:hAnsi="Times New Roman" w:cs="Times New Roman"/>
          <w:sz w:val="24"/>
          <w:szCs w:val="24"/>
        </w:rPr>
      </w:pPr>
      <w:r w:rsidRPr="00096B24">
        <w:rPr>
          <w:rFonts w:ascii="Times New Roman" w:hAnsi="Times New Roman" w:cs="Times New Roman"/>
          <w:sz w:val="24"/>
          <w:szCs w:val="24"/>
        </w:rPr>
        <w:t xml:space="preserve">Haigusloos ja </w:t>
      </w:r>
      <w:proofErr w:type="spellStart"/>
      <w:r w:rsidRPr="00096B24">
        <w:rPr>
          <w:rFonts w:ascii="Times New Roman" w:hAnsi="Times New Roman" w:cs="Times New Roman"/>
          <w:sz w:val="24"/>
          <w:szCs w:val="24"/>
        </w:rPr>
        <w:t>epikriisile</w:t>
      </w:r>
      <w:proofErr w:type="spellEnd"/>
      <w:r w:rsidRPr="00096B24">
        <w:rPr>
          <w:rFonts w:ascii="Times New Roman" w:hAnsi="Times New Roman" w:cs="Times New Roman"/>
          <w:sz w:val="24"/>
          <w:szCs w:val="24"/>
        </w:rPr>
        <w:t xml:space="preserve"> oli </w:t>
      </w:r>
      <w:r w:rsidR="00607F55" w:rsidRPr="00096B24">
        <w:rPr>
          <w:rFonts w:ascii="Times New Roman" w:hAnsi="Times New Roman" w:cs="Times New Roman"/>
          <w:sz w:val="24"/>
          <w:szCs w:val="24"/>
        </w:rPr>
        <w:t>kuuel</w:t>
      </w:r>
      <w:r w:rsidRPr="00096B24">
        <w:rPr>
          <w:rFonts w:ascii="Times New Roman" w:hAnsi="Times New Roman" w:cs="Times New Roman"/>
          <w:sz w:val="24"/>
          <w:szCs w:val="24"/>
        </w:rPr>
        <w:t xml:space="preserve"> juhul märgitud patsiendi paranemine ja samas ka suunamine ambulatoorsele ravile. Esiteks tähendab paranemine edasise ravivajaduse puudumist või vähenemist, teiseks ei olnud täpsustatud, kas suunamine oli sama eriala (ortopeedia)</w:t>
      </w:r>
      <w:r w:rsidR="00607F55" w:rsidRPr="00096B24">
        <w:rPr>
          <w:rFonts w:ascii="Times New Roman" w:hAnsi="Times New Roman" w:cs="Times New Roman"/>
          <w:sz w:val="24"/>
          <w:szCs w:val="24"/>
        </w:rPr>
        <w:t xml:space="preserve"> või</w:t>
      </w:r>
      <w:r w:rsidRPr="00096B24">
        <w:rPr>
          <w:rFonts w:ascii="Times New Roman" w:hAnsi="Times New Roman" w:cs="Times New Roman"/>
          <w:sz w:val="24"/>
          <w:szCs w:val="24"/>
        </w:rPr>
        <w:t xml:space="preserve"> mõne teise eriala eriarsti ambulatoorsele vastuvõt</w:t>
      </w:r>
      <w:r w:rsidR="00607F55" w:rsidRPr="00096B24">
        <w:rPr>
          <w:rFonts w:ascii="Times New Roman" w:hAnsi="Times New Roman" w:cs="Times New Roman"/>
          <w:sz w:val="24"/>
          <w:szCs w:val="24"/>
        </w:rPr>
        <w:t>ule</w:t>
      </w:r>
      <w:r w:rsidRPr="00096B24">
        <w:rPr>
          <w:rFonts w:ascii="Times New Roman" w:hAnsi="Times New Roman" w:cs="Times New Roman"/>
          <w:sz w:val="24"/>
          <w:szCs w:val="24"/>
        </w:rPr>
        <w:t xml:space="preserve">. </w:t>
      </w:r>
      <w:r w:rsidR="00607F55" w:rsidRPr="00096B24">
        <w:rPr>
          <w:rFonts w:ascii="Times New Roman" w:hAnsi="Times New Roman" w:cs="Times New Roman"/>
          <w:sz w:val="24"/>
          <w:szCs w:val="24"/>
        </w:rPr>
        <w:t>Kümnel</w:t>
      </w:r>
      <w:r w:rsidRPr="00096B24">
        <w:rPr>
          <w:rFonts w:ascii="Times New Roman" w:hAnsi="Times New Roman" w:cs="Times New Roman"/>
          <w:sz w:val="24"/>
          <w:szCs w:val="24"/>
        </w:rPr>
        <w:t xml:space="preserve"> juhul oli </w:t>
      </w:r>
      <w:proofErr w:type="spellStart"/>
      <w:r w:rsidRPr="00096B24">
        <w:rPr>
          <w:rFonts w:ascii="Times New Roman" w:hAnsi="Times New Roman" w:cs="Times New Roman"/>
          <w:sz w:val="24"/>
          <w:szCs w:val="24"/>
        </w:rPr>
        <w:t>epikriisile</w:t>
      </w:r>
      <w:proofErr w:type="spellEnd"/>
      <w:r w:rsidRPr="00096B24">
        <w:rPr>
          <w:rFonts w:ascii="Times New Roman" w:hAnsi="Times New Roman" w:cs="Times New Roman"/>
          <w:sz w:val="24"/>
          <w:szCs w:val="24"/>
        </w:rPr>
        <w:t xml:space="preserve"> märgitud patsiendi paranemine kuid raviarvele ravi lõpetamise põhjusena suunamine perearsti vastuvõtule ja jälgimisele või „muud põhjused“. </w:t>
      </w:r>
      <w:r w:rsidR="00607F55" w:rsidRPr="00096B24">
        <w:rPr>
          <w:rFonts w:ascii="Times New Roman" w:hAnsi="Times New Roman" w:cs="Times New Roman"/>
          <w:sz w:val="24"/>
          <w:szCs w:val="24"/>
        </w:rPr>
        <w:t>Kuuel</w:t>
      </w:r>
      <w:r w:rsidRPr="00096B24">
        <w:rPr>
          <w:rFonts w:ascii="Times New Roman" w:hAnsi="Times New Roman" w:cs="Times New Roman"/>
          <w:sz w:val="24"/>
          <w:szCs w:val="24"/>
        </w:rPr>
        <w:t xml:space="preserve"> juhul oli ravi lõpetamise põhjuseks märgitud „muud põhjused“ ka siis, kui patsient oli suunatud edasisele statsionaarsele ravile mõnda teise raviasutusse. </w:t>
      </w:r>
    </w:p>
    <w:p w14:paraId="7DA5780E" w14:textId="30D0400A" w:rsidR="00C1196B" w:rsidRPr="00096B24" w:rsidRDefault="00C1196B" w:rsidP="00096B24">
      <w:pPr>
        <w:spacing w:line="240" w:lineRule="auto"/>
        <w:jc w:val="both"/>
        <w:rPr>
          <w:rFonts w:ascii="Times New Roman" w:hAnsi="Times New Roman" w:cs="Times New Roman"/>
          <w:sz w:val="24"/>
          <w:szCs w:val="24"/>
        </w:rPr>
      </w:pPr>
      <w:r w:rsidRPr="00096B24">
        <w:rPr>
          <w:rFonts w:ascii="Times New Roman" w:hAnsi="Times New Roman" w:cs="Times New Roman"/>
          <w:sz w:val="24"/>
          <w:szCs w:val="24"/>
        </w:rPr>
        <w:t xml:space="preserve">Ravile saabumise ja ravi lõpetamise kodeerimine on kirjeldatud metoodika määruses. </w:t>
      </w:r>
      <w:r w:rsidRPr="00096B24">
        <w:rPr>
          <w:rFonts w:ascii="Times New Roman" w:hAnsi="Times New Roman" w:cs="Times New Roman"/>
          <w:bCs/>
          <w:sz w:val="24"/>
          <w:szCs w:val="24"/>
        </w:rPr>
        <w:t xml:space="preserve">Pärast hinnatavat perioodi on metoodika määruses raviarve lõpetamise põhjuste kategooriaid muudetud. </w:t>
      </w:r>
    </w:p>
    <w:p w14:paraId="068B8FAD" w14:textId="4FFBA393" w:rsidR="005169FF" w:rsidRPr="007860C1" w:rsidRDefault="005169FF" w:rsidP="00A834BC">
      <w:pPr>
        <w:spacing w:line="240" w:lineRule="auto"/>
        <w:jc w:val="both"/>
        <w:rPr>
          <w:rFonts w:ascii="Times New Roman" w:hAnsi="Times New Roman" w:cs="Times New Roman"/>
          <w:sz w:val="24"/>
          <w:szCs w:val="24"/>
        </w:rPr>
      </w:pPr>
    </w:p>
    <w:p w14:paraId="23C93909" w14:textId="22FFD0EC" w:rsidR="00CF52DF" w:rsidRPr="007860C1" w:rsidRDefault="00CF52DF" w:rsidP="00A834BC">
      <w:pPr>
        <w:pStyle w:val="Heading1"/>
        <w:numPr>
          <w:ilvl w:val="1"/>
          <w:numId w:val="36"/>
        </w:numPr>
        <w:spacing w:after="240" w:line="240" w:lineRule="auto"/>
        <w:jc w:val="both"/>
        <w:rPr>
          <w:rFonts w:cs="Times New Roman"/>
          <w:bCs/>
          <w:szCs w:val="24"/>
        </w:rPr>
      </w:pPr>
      <w:bookmarkStart w:id="16" w:name="_Toc75527269"/>
      <w:r w:rsidRPr="007860C1">
        <w:rPr>
          <w:rFonts w:cs="Times New Roman"/>
          <w:bCs/>
          <w:szCs w:val="24"/>
        </w:rPr>
        <w:t>PATSIENDI RAVITEEKOND</w:t>
      </w:r>
      <w:bookmarkEnd w:id="16"/>
    </w:p>
    <w:p w14:paraId="799DDDD8" w14:textId="60F76961" w:rsidR="00CF52DF" w:rsidRPr="007860C1" w:rsidRDefault="00CF52DF" w:rsidP="00A834BC">
      <w:pPr>
        <w:pStyle w:val="Heading1"/>
        <w:spacing w:after="240" w:line="240" w:lineRule="auto"/>
        <w:jc w:val="both"/>
        <w:rPr>
          <w:rFonts w:cs="Times New Roman"/>
          <w:b w:val="0"/>
          <w:bCs/>
          <w:color w:val="auto"/>
          <w:szCs w:val="24"/>
        </w:rPr>
      </w:pPr>
      <w:bookmarkStart w:id="17" w:name="_Toc75527270"/>
      <w:r w:rsidRPr="007860C1">
        <w:rPr>
          <w:rFonts w:cs="Times New Roman"/>
          <w:bCs/>
          <w:color w:val="auto"/>
          <w:szCs w:val="24"/>
        </w:rPr>
        <w:t>4.</w:t>
      </w:r>
      <w:r w:rsidR="00EE2818" w:rsidRPr="007860C1">
        <w:rPr>
          <w:rFonts w:cs="Times New Roman"/>
          <w:bCs/>
          <w:color w:val="auto"/>
          <w:szCs w:val="24"/>
        </w:rPr>
        <w:t>3</w:t>
      </w:r>
      <w:r w:rsidRPr="007860C1">
        <w:rPr>
          <w:rFonts w:cs="Times New Roman"/>
          <w:bCs/>
          <w:color w:val="auto"/>
          <w:szCs w:val="24"/>
        </w:rPr>
        <w:t xml:space="preserve">.1. </w:t>
      </w:r>
      <w:r w:rsidRPr="007860C1">
        <w:rPr>
          <w:rFonts w:cs="Times New Roman"/>
          <w:bCs/>
          <w:color w:val="auto"/>
          <w:szCs w:val="24"/>
        </w:rPr>
        <w:tab/>
      </w:r>
      <w:bookmarkStart w:id="18" w:name="_Hlk61870923"/>
      <w:bookmarkStart w:id="19" w:name="_Toc42602891"/>
      <w:bookmarkEnd w:id="17"/>
      <w:proofErr w:type="spellStart"/>
      <w:r w:rsidR="005169FF" w:rsidRPr="007860C1">
        <w:rPr>
          <w:rFonts w:cs="Times New Roman"/>
          <w:bCs/>
          <w:color w:val="auto"/>
          <w:szCs w:val="24"/>
        </w:rPr>
        <w:t>Endoproteesimisele</w:t>
      </w:r>
      <w:proofErr w:type="spellEnd"/>
      <w:r w:rsidR="005169FF" w:rsidRPr="007860C1">
        <w:rPr>
          <w:rFonts w:cs="Times New Roman"/>
          <w:bCs/>
          <w:color w:val="auto"/>
          <w:szCs w:val="24"/>
        </w:rPr>
        <w:t xml:space="preserve"> eelnevad </w:t>
      </w:r>
      <w:r w:rsidR="00C10504" w:rsidRPr="007860C1">
        <w:rPr>
          <w:rFonts w:cs="Times New Roman"/>
          <w:bCs/>
          <w:color w:val="auto"/>
          <w:szCs w:val="24"/>
        </w:rPr>
        <w:t>nõustamised, analüüsid ja uuringud</w:t>
      </w:r>
    </w:p>
    <w:p w14:paraId="49A2364A" w14:textId="28038316" w:rsidR="00F719CD" w:rsidRPr="00FE0550" w:rsidRDefault="00FE0550" w:rsidP="00A834BC">
      <w:pPr>
        <w:spacing w:line="240" w:lineRule="auto"/>
        <w:jc w:val="both"/>
        <w:rPr>
          <w:rFonts w:ascii="Times New Roman" w:hAnsi="Times New Roman" w:cs="Times New Roman"/>
          <w:sz w:val="24"/>
          <w:szCs w:val="24"/>
        </w:rPr>
      </w:pPr>
      <w:r w:rsidRPr="00FE0550">
        <w:rPr>
          <w:rFonts w:ascii="Times New Roman" w:hAnsi="Times New Roman" w:cs="Times New Roman"/>
          <w:sz w:val="24"/>
          <w:szCs w:val="24"/>
        </w:rPr>
        <w:t>P</w:t>
      </w:r>
      <w:r w:rsidR="00317D79" w:rsidRPr="00FE0550">
        <w:rPr>
          <w:rFonts w:ascii="Times New Roman" w:hAnsi="Times New Roman" w:cs="Times New Roman"/>
          <w:sz w:val="24"/>
          <w:szCs w:val="24"/>
        </w:rPr>
        <w:t xml:space="preserve">raktikad vajalikest plaanilisele </w:t>
      </w:r>
      <w:proofErr w:type="spellStart"/>
      <w:r w:rsidR="00317D79" w:rsidRPr="00FE0550">
        <w:rPr>
          <w:rFonts w:ascii="Times New Roman" w:hAnsi="Times New Roman" w:cs="Times New Roman"/>
          <w:sz w:val="24"/>
          <w:szCs w:val="24"/>
        </w:rPr>
        <w:t>endoproteesimisele</w:t>
      </w:r>
      <w:proofErr w:type="spellEnd"/>
      <w:r w:rsidR="00317D79" w:rsidRPr="00FE0550">
        <w:rPr>
          <w:rFonts w:ascii="Times New Roman" w:hAnsi="Times New Roman" w:cs="Times New Roman"/>
          <w:sz w:val="24"/>
          <w:szCs w:val="24"/>
        </w:rPr>
        <w:t xml:space="preserve"> saabuvatest analüüsidest ja uuringutest on väga sarnased – vajalikud on </w:t>
      </w:r>
      <w:proofErr w:type="spellStart"/>
      <w:r w:rsidR="00317D79" w:rsidRPr="00FE0550">
        <w:rPr>
          <w:rFonts w:ascii="Times New Roman" w:hAnsi="Times New Roman" w:cs="Times New Roman"/>
          <w:sz w:val="24"/>
          <w:szCs w:val="24"/>
        </w:rPr>
        <w:t>hemogramm</w:t>
      </w:r>
      <w:proofErr w:type="spellEnd"/>
      <w:r w:rsidR="00317D79" w:rsidRPr="00FE0550">
        <w:rPr>
          <w:rFonts w:ascii="Times New Roman" w:hAnsi="Times New Roman" w:cs="Times New Roman"/>
          <w:sz w:val="24"/>
          <w:szCs w:val="24"/>
        </w:rPr>
        <w:t xml:space="preserve">, </w:t>
      </w:r>
      <w:r w:rsidR="00F75864" w:rsidRPr="00FE0550">
        <w:rPr>
          <w:rFonts w:ascii="Times New Roman" w:hAnsi="Times New Roman" w:cs="Times New Roman"/>
          <w:sz w:val="24"/>
          <w:szCs w:val="24"/>
        </w:rPr>
        <w:t>rindkere röntgen</w:t>
      </w:r>
      <w:r w:rsidR="00F719CD" w:rsidRPr="00FE0550">
        <w:rPr>
          <w:rFonts w:ascii="Times New Roman" w:hAnsi="Times New Roman" w:cs="Times New Roman"/>
          <w:sz w:val="24"/>
          <w:szCs w:val="24"/>
        </w:rPr>
        <w:t xml:space="preserve">ülesvõte, EKG, </w:t>
      </w:r>
      <w:r w:rsidRPr="00FE0550">
        <w:rPr>
          <w:rFonts w:ascii="Times New Roman" w:hAnsi="Times New Roman" w:cs="Times New Roman"/>
          <w:sz w:val="24"/>
          <w:szCs w:val="24"/>
        </w:rPr>
        <w:t xml:space="preserve">veregrupi määramine, hüübimisnäitajate </w:t>
      </w:r>
      <w:r w:rsidR="00E71703">
        <w:rPr>
          <w:rFonts w:ascii="Times New Roman" w:hAnsi="Times New Roman" w:cs="Times New Roman"/>
          <w:sz w:val="24"/>
          <w:szCs w:val="24"/>
        </w:rPr>
        <w:t xml:space="preserve">ja elektrolüütide </w:t>
      </w:r>
      <w:r w:rsidRPr="00FE0550">
        <w:rPr>
          <w:rFonts w:ascii="Times New Roman" w:hAnsi="Times New Roman" w:cs="Times New Roman"/>
          <w:sz w:val="24"/>
          <w:szCs w:val="24"/>
        </w:rPr>
        <w:t xml:space="preserve">analüüs. </w:t>
      </w:r>
    </w:p>
    <w:p w14:paraId="37058BEE" w14:textId="7772ED30" w:rsidR="00FE0550" w:rsidRPr="007860C1" w:rsidRDefault="00A664A0" w:rsidP="00FE0550">
      <w:pPr>
        <w:jc w:val="both"/>
        <w:rPr>
          <w:rFonts w:ascii="Times New Roman" w:hAnsi="Times New Roman" w:cs="Times New Roman"/>
          <w:sz w:val="24"/>
          <w:szCs w:val="24"/>
        </w:rPr>
      </w:pPr>
      <w:r w:rsidRPr="00FE0550">
        <w:rPr>
          <w:rFonts w:ascii="Times New Roman" w:hAnsi="Times New Roman" w:cs="Times New Roman"/>
          <w:sz w:val="24"/>
          <w:szCs w:val="24"/>
        </w:rPr>
        <w:t>Praktika sellest, kes nimetatud analüüsid ja uuringud patsiendile korraldab</w:t>
      </w:r>
      <w:r w:rsidR="00E71703">
        <w:rPr>
          <w:rFonts w:ascii="Times New Roman" w:hAnsi="Times New Roman" w:cs="Times New Roman"/>
          <w:sz w:val="24"/>
          <w:szCs w:val="24"/>
        </w:rPr>
        <w:t>,</w:t>
      </w:r>
      <w:r w:rsidRPr="00FE0550">
        <w:rPr>
          <w:rFonts w:ascii="Times New Roman" w:hAnsi="Times New Roman" w:cs="Times New Roman"/>
          <w:sz w:val="24"/>
          <w:szCs w:val="24"/>
        </w:rPr>
        <w:t xml:space="preserve"> sõltu</w:t>
      </w:r>
      <w:r w:rsidR="00E71703">
        <w:rPr>
          <w:rFonts w:ascii="Times New Roman" w:hAnsi="Times New Roman" w:cs="Times New Roman"/>
          <w:sz w:val="24"/>
          <w:szCs w:val="24"/>
        </w:rPr>
        <w:t>b</w:t>
      </w:r>
      <w:r w:rsidRPr="00FE0550">
        <w:rPr>
          <w:rFonts w:ascii="Times New Roman" w:hAnsi="Times New Roman" w:cs="Times New Roman"/>
          <w:sz w:val="24"/>
          <w:szCs w:val="24"/>
        </w:rPr>
        <w:t xml:space="preserve"> </w:t>
      </w:r>
      <w:proofErr w:type="spellStart"/>
      <w:r w:rsidRPr="00FE0550">
        <w:rPr>
          <w:rFonts w:ascii="Times New Roman" w:hAnsi="Times New Roman" w:cs="Times New Roman"/>
          <w:sz w:val="24"/>
          <w:szCs w:val="24"/>
        </w:rPr>
        <w:t>endoproteesimist</w:t>
      </w:r>
      <w:proofErr w:type="spellEnd"/>
      <w:r w:rsidRPr="00FE0550">
        <w:rPr>
          <w:rFonts w:ascii="Times New Roman" w:hAnsi="Times New Roman" w:cs="Times New Roman"/>
          <w:sz w:val="24"/>
          <w:szCs w:val="24"/>
        </w:rPr>
        <w:t xml:space="preserve"> teostavast </w:t>
      </w:r>
      <w:r w:rsidR="00FE0550">
        <w:rPr>
          <w:rFonts w:ascii="Times New Roman" w:hAnsi="Times New Roman" w:cs="Times New Roman"/>
          <w:sz w:val="24"/>
          <w:szCs w:val="24"/>
        </w:rPr>
        <w:t xml:space="preserve">asutusest ja sealsest praktikast. </w:t>
      </w:r>
      <w:r w:rsidR="00FE0550" w:rsidRPr="00A664A0">
        <w:rPr>
          <w:rFonts w:ascii="Times New Roman" w:hAnsi="Times New Roman" w:cs="Times New Roman"/>
          <w:sz w:val="24"/>
          <w:szCs w:val="24"/>
        </w:rPr>
        <w:t xml:space="preserve">Kuna sihtvaliku raames vaadati </w:t>
      </w:r>
      <w:proofErr w:type="spellStart"/>
      <w:r w:rsidR="00FE0550" w:rsidRPr="00A664A0">
        <w:rPr>
          <w:rFonts w:ascii="Times New Roman" w:hAnsi="Times New Roman" w:cs="Times New Roman"/>
          <w:sz w:val="24"/>
          <w:szCs w:val="24"/>
        </w:rPr>
        <w:t>endoproteesimisele</w:t>
      </w:r>
      <w:proofErr w:type="spellEnd"/>
      <w:r w:rsidR="00FE0550" w:rsidRPr="00A664A0">
        <w:rPr>
          <w:rFonts w:ascii="Times New Roman" w:hAnsi="Times New Roman" w:cs="Times New Roman"/>
          <w:sz w:val="24"/>
          <w:szCs w:val="24"/>
        </w:rPr>
        <w:t xml:space="preserve"> eelneva 6 kuu raviarveid ja haiguslugusid</w:t>
      </w:r>
      <w:r w:rsidR="00E71703">
        <w:rPr>
          <w:rFonts w:ascii="Times New Roman" w:hAnsi="Times New Roman" w:cs="Times New Roman"/>
          <w:sz w:val="24"/>
          <w:szCs w:val="24"/>
        </w:rPr>
        <w:t>, kuid</w:t>
      </w:r>
      <w:r w:rsidR="00FE0550" w:rsidRPr="00A664A0">
        <w:rPr>
          <w:rFonts w:ascii="Times New Roman" w:hAnsi="Times New Roman" w:cs="Times New Roman"/>
          <w:sz w:val="24"/>
          <w:szCs w:val="24"/>
        </w:rPr>
        <w:t xml:space="preserve"> enamasti on </w:t>
      </w:r>
      <w:proofErr w:type="spellStart"/>
      <w:r w:rsidR="00FE0550" w:rsidRPr="00A664A0">
        <w:rPr>
          <w:rFonts w:ascii="Times New Roman" w:hAnsi="Times New Roman" w:cs="Times New Roman"/>
          <w:sz w:val="24"/>
          <w:szCs w:val="24"/>
        </w:rPr>
        <w:t>endoproteesimise</w:t>
      </w:r>
      <w:proofErr w:type="spellEnd"/>
      <w:r w:rsidR="00FE0550" w:rsidRPr="00A664A0">
        <w:rPr>
          <w:rFonts w:ascii="Times New Roman" w:hAnsi="Times New Roman" w:cs="Times New Roman"/>
          <w:sz w:val="24"/>
          <w:szCs w:val="24"/>
        </w:rPr>
        <w:t xml:space="preserve"> ootejärjekorrad pikemad, siis ei ole võimalik välja tuua, kuidas jõuab patsiendi või perearstini informatsioon sellest, kes vajalikud analüüsid ja uuringud korraldab või milline on patsiendi enda vastutus ja valikuvõimalus selles teekonna osas. </w:t>
      </w:r>
    </w:p>
    <w:p w14:paraId="56F4B120" w14:textId="0ABFB807" w:rsidR="00A664A0" w:rsidRPr="00FE0550" w:rsidRDefault="00FE0550" w:rsidP="00A664A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Lisaks palutakse patsiendilt tõendit hammaste </w:t>
      </w:r>
      <w:proofErr w:type="spellStart"/>
      <w:r>
        <w:rPr>
          <w:rFonts w:ascii="Times New Roman" w:hAnsi="Times New Roman" w:cs="Times New Roman"/>
          <w:sz w:val="24"/>
          <w:szCs w:val="24"/>
        </w:rPr>
        <w:t>saneermise</w:t>
      </w:r>
      <w:proofErr w:type="spellEnd"/>
      <w:r>
        <w:rPr>
          <w:rFonts w:ascii="Times New Roman" w:hAnsi="Times New Roman" w:cs="Times New Roman"/>
          <w:sz w:val="24"/>
          <w:szCs w:val="24"/>
        </w:rPr>
        <w:t xml:space="preserve"> kohta</w:t>
      </w:r>
      <w:r w:rsidR="00E71703">
        <w:rPr>
          <w:rFonts w:ascii="Times New Roman" w:hAnsi="Times New Roman" w:cs="Times New Roman"/>
          <w:sz w:val="24"/>
          <w:szCs w:val="24"/>
        </w:rPr>
        <w:t xml:space="preserve">. Hambaravi teenuseni jõudmine on patsiendi enda vastutus. </w:t>
      </w:r>
    </w:p>
    <w:p w14:paraId="32D9573E" w14:textId="716882A3" w:rsidR="00A664A0" w:rsidRDefault="00FE0550" w:rsidP="00A834BC">
      <w:pPr>
        <w:spacing w:line="240" w:lineRule="auto"/>
        <w:jc w:val="both"/>
        <w:rPr>
          <w:rFonts w:ascii="Times New Roman" w:hAnsi="Times New Roman" w:cs="Times New Roman"/>
          <w:sz w:val="24"/>
          <w:szCs w:val="24"/>
        </w:rPr>
      </w:pPr>
      <w:r w:rsidRPr="00FE0550">
        <w:rPr>
          <w:rFonts w:ascii="Times New Roman" w:hAnsi="Times New Roman" w:cs="Times New Roman"/>
          <w:sz w:val="24"/>
          <w:szCs w:val="24"/>
          <w:u w:val="single"/>
        </w:rPr>
        <w:t>Näide 1.</w:t>
      </w:r>
      <w:r w:rsidRPr="00FE0550">
        <w:rPr>
          <w:rFonts w:ascii="Times New Roman" w:hAnsi="Times New Roman" w:cs="Times New Roman"/>
          <w:sz w:val="24"/>
          <w:szCs w:val="24"/>
        </w:rPr>
        <w:t xml:space="preserve"> 2-3 nädalat enne operatsiooni toimub ortopeedi vastuvõtt. Ortopeed suunab patsiendi anestesioloogi vastuvõtule, spetsiaalse ettevalmistuse saanud õe nõustamisele ning analüüsidele-uuringutele. </w:t>
      </w:r>
      <w:r>
        <w:rPr>
          <w:rFonts w:ascii="Times New Roman" w:hAnsi="Times New Roman" w:cs="Times New Roman"/>
          <w:sz w:val="24"/>
          <w:szCs w:val="24"/>
        </w:rPr>
        <w:t xml:space="preserve">Sellise näite eeliseks on asjaolu et kõik teenused on korraldatud läbi ühe teenusepakkuja ja patsiendile pakutav operatsioonieelne käsitlus on kohandatud opereeriva teenusepakkuja järgnevate teekonna etappidega. </w:t>
      </w:r>
    </w:p>
    <w:p w14:paraId="7091218C" w14:textId="2DF392CF" w:rsidR="00FE0550" w:rsidRPr="00FE0550" w:rsidRDefault="00FE0550" w:rsidP="00A834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Puuduseks on perearsti vähene seos protsessiga, mis tekitab teekonna katkemise hetkel, mil patsient </w:t>
      </w:r>
      <w:proofErr w:type="spellStart"/>
      <w:r>
        <w:rPr>
          <w:rFonts w:ascii="Times New Roman" w:hAnsi="Times New Roman" w:cs="Times New Roman"/>
          <w:sz w:val="24"/>
          <w:szCs w:val="24"/>
        </w:rPr>
        <w:t>endoproteesimise</w:t>
      </w:r>
      <w:proofErr w:type="spellEnd"/>
      <w:r>
        <w:rPr>
          <w:rFonts w:ascii="Times New Roman" w:hAnsi="Times New Roman" w:cs="Times New Roman"/>
          <w:sz w:val="24"/>
          <w:szCs w:val="24"/>
        </w:rPr>
        <w:t xml:space="preserve"> järgselt perearsti jälgimisele suunatakse. </w:t>
      </w:r>
    </w:p>
    <w:p w14:paraId="660BD1B3" w14:textId="68BE1828" w:rsidR="00F75864" w:rsidRDefault="00FE0550" w:rsidP="00A963A6">
      <w:pPr>
        <w:spacing w:line="240" w:lineRule="auto"/>
        <w:jc w:val="both"/>
        <w:rPr>
          <w:rFonts w:ascii="Times New Roman" w:hAnsi="Times New Roman" w:cs="Times New Roman"/>
          <w:sz w:val="24"/>
          <w:szCs w:val="24"/>
        </w:rPr>
      </w:pPr>
      <w:r w:rsidRPr="00A963A6">
        <w:rPr>
          <w:rFonts w:ascii="Times New Roman" w:hAnsi="Times New Roman" w:cs="Times New Roman"/>
          <w:sz w:val="24"/>
          <w:szCs w:val="24"/>
          <w:u w:val="single"/>
        </w:rPr>
        <w:t>Näide 2.</w:t>
      </w:r>
      <w:r w:rsidRPr="00A963A6">
        <w:rPr>
          <w:rFonts w:ascii="Times New Roman" w:hAnsi="Times New Roman" w:cs="Times New Roman"/>
          <w:sz w:val="24"/>
          <w:szCs w:val="24"/>
        </w:rPr>
        <w:t xml:space="preserve"> </w:t>
      </w:r>
      <w:r w:rsidR="00A963A6" w:rsidRPr="00A963A6">
        <w:rPr>
          <w:rFonts w:ascii="Times New Roman" w:hAnsi="Times New Roman" w:cs="Times New Roman"/>
          <w:sz w:val="24"/>
          <w:szCs w:val="24"/>
        </w:rPr>
        <w:t xml:space="preserve">Operatsioonieelsed vajalikud analüüsid-uuringud teostab perearst. </w:t>
      </w:r>
      <w:proofErr w:type="spellStart"/>
      <w:r w:rsidR="00A963A6" w:rsidRPr="00A963A6">
        <w:rPr>
          <w:rFonts w:ascii="Times New Roman" w:hAnsi="Times New Roman" w:cs="Times New Roman"/>
          <w:sz w:val="24"/>
          <w:szCs w:val="24"/>
        </w:rPr>
        <w:t>Endoproteesimist</w:t>
      </w:r>
      <w:proofErr w:type="spellEnd"/>
      <w:r w:rsidR="00A963A6" w:rsidRPr="00A963A6">
        <w:rPr>
          <w:rFonts w:ascii="Times New Roman" w:hAnsi="Times New Roman" w:cs="Times New Roman"/>
          <w:sz w:val="24"/>
          <w:szCs w:val="24"/>
        </w:rPr>
        <w:t xml:space="preserve"> teostav teenusepakkuja võtab patsiendiga telefoni teel ühendust ja annab täpsemad juhised </w:t>
      </w:r>
      <w:proofErr w:type="spellStart"/>
      <w:r w:rsidR="00A963A6" w:rsidRPr="00A963A6">
        <w:rPr>
          <w:rFonts w:ascii="Times New Roman" w:hAnsi="Times New Roman" w:cs="Times New Roman"/>
          <w:sz w:val="24"/>
          <w:szCs w:val="24"/>
        </w:rPr>
        <w:t>endoproteesimisele</w:t>
      </w:r>
      <w:proofErr w:type="spellEnd"/>
      <w:r w:rsidR="00A963A6" w:rsidRPr="00A963A6">
        <w:rPr>
          <w:rFonts w:ascii="Times New Roman" w:hAnsi="Times New Roman" w:cs="Times New Roman"/>
          <w:sz w:val="24"/>
          <w:szCs w:val="24"/>
        </w:rPr>
        <w:t xml:space="preserve"> saabumise kohta või kutsub nõustamisele. Sellise näite eeliseks on perearsti </w:t>
      </w:r>
      <w:r w:rsidR="00A963A6">
        <w:rPr>
          <w:rFonts w:ascii="Times New Roman" w:hAnsi="Times New Roman" w:cs="Times New Roman"/>
          <w:sz w:val="24"/>
          <w:szCs w:val="24"/>
        </w:rPr>
        <w:t xml:space="preserve">kaasamine </w:t>
      </w:r>
      <w:r w:rsidR="00A963A6" w:rsidRPr="00A963A6">
        <w:rPr>
          <w:rFonts w:ascii="Times New Roman" w:hAnsi="Times New Roman" w:cs="Times New Roman"/>
          <w:sz w:val="24"/>
          <w:szCs w:val="24"/>
        </w:rPr>
        <w:t>patsiendi teekon</w:t>
      </w:r>
      <w:r w:rsidR="00A963A6">
        <w:rPr>
          <w:rFonts w:ascii="Times New Roman" w:hAnsi="Times New Roman" w:cs="Times New Roman"/>
          <w:sz w:val="24"/>
          <w:szCs w:val="24"/>
        </w:rPr>
        <w:t>da</w:t>
      </w:r>
      <w:r w:rsidR="00A963A6" w:rsidRPr="00A963A6">
        <w:rPr>
          <w:rFonts w:ascii="Times New Roman" w:hAnsi="Times New Roman" w:cs="Times New Roman"/>
          <w:sz w:val="24"/>
          <w:szCs w:val="24"/>
        </w:rPr>
        <w:t xml:space="preserve">. Puuduseks on erinevate teenuspakkujate ootuste erinevus. </w:t>
      </w:r>
    </w:p>
    <w:p w14:paraId="33FA0F5B" w14:textId="01A9BE13" w:rsidR="00A963A6" w:rsidRDefault="00A963A6" w:rsidP="00A963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Operatsioonieelse nõustamise sisu ei ole standardne. Sellesse võib kuuluda ainult operatsioonieelsete analüüside ja nõusolekulehtede ülevaatamine, lisauuringute vajaduse hindamine, operatsioonile saabumise korralduste selgitamine. Kuid on ka näiteid, kus ravidokumentides on dokumenteeritud patsiendi nõustamine operatsiooni olemusest, operatsioonijärgsest perioodist, taastusravi protsessist, kodu ümberkorraldamise vajadustest ja võimalustest. </w:t>
      </w:r>
    </w:p>
    <w:p w14:paraId="67ED98E5" w14:textId="23A16395" w:rsidR="00A647A2" w:rsidRPr="00A963A6" w:rsidRDefault="00A647A2" w:rsidP="00A963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Patsiendi seisundi ja puusaliigese kahjustusest põhjustatud valu ja liikuvuspiirangut hinnati kõikides asutustes selleks ettenähtud </w:t>
      </w:r>
      <w:proofErr w:type="spellStart"/>
      <w:r>
        <w:rPr>
          <w:rFonts w:ascii="Times New Roman" w:hAnsi="Times New Roman" w:cs="Times New Roman"/>
          <w:sz w:val="24"/>
          <w:szCs w:val="24"/>
        </w:rPr>
        <w:t>skoorimissüsteemiga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Skooringu</w:t>
      </w:r>
      <w:proofErr w:type="spellEnd"/>
      <w:r>
        <w:rPr>
          <w:rFonts w:ascii="Times New Roman" w:hAnsi="Times New Roman" w:cs="Times New Roman"/>
          <w:sz w:val="24"/>
          <w:szCs w:val="24"/>
        </w:rPr>
        <w:t xml:space="preserve"> punktide dokumenteerimine ravidokumentides kui patsiendi seisundit kajastav mõõdiku kajastus oli mõnes asutuses ühetaoline (nt alati haigusloo vahel), mõnes märgitud ebaühtlaselt ortopeedide vastuvõtte kajastavatele </w:t>
      </w:r>
      <w:proofErr w:type="spellStart"/>
      <w:r>
        <w:rPr>
          <w:rFonts w:ascii="Times New Roman" w:hAnsi="Times New Roman" w:cs="Times New Roman"/>
          <w:sz w:val="24"/>
          <w:szCs w:val="24"/>
        </w:rPr>
        <w:t>epikriisidele</w:t>
      </w:r>
      <w:proofErr w:type="spellEnd"/>
      <w:r>
        <w:rPr>
          <w:rFonts w:ascii="Times New Roman" w:hAnsi="Times New Roman" w:cs="Times New Roman"/>
          <w:sz w:val="24"/>
          <w:szCs w:val="24"/>
        </w:rPr>
        <w:t xml:space="preserve">. Valdav praktika oli, et hinnang oli tehtud operatsioonijärjekorda lisamisel ja püsis ühetaoline kogu ooteperioodi (sama </w:t>
      </w:r>
      <w:proofErr w:type="spellStart"/>
      <w:r>
        <w:rPr>
          <w:rFonts w:ascii="Times New Roman" w:hAnsi="Times New Roman" w:cs="Times New Roman"/>
          <w:sz w:val="24"/>
          <w:szCs w:val="24"/>
        </w:rPr>
        <w:t>skooring</w:t>
      </w:r>
      <w:proofErr w:type="spellEnd"/>
      <w:r>
        <w:rPr>
          <w:rFonts w:ascii="Times New Roman" w:hAnsi="Times New Roman" w:cs="Times New Roman"/>
          <w:sz w:val="24"/>
          <w:szCs w:val="24"/>
        </w:rPr>
        <w:t xml:space="preserve"> kandus edasi). Uut hindamist enne operatsiooni ei toestatud</w:t>
      </w:r>
      <w:r w:rsidR="00991D65">
        <w:rPr>
          <w:rFonts w:ascii="Times New Roman" w:hAnsi="Times New Roman" w:cs="Times New Roman"/>
          <w:sz w:val="24"/>
          <w:szCs w:val="24"/>
        </w:rPr>
        <w:t xml:space="preserve">, pärast samuti mitte. Üksikutel juhtudel, kui patsient oli sama asutuse ortopeedide vastuvõttudel käinud pikemat aega ka konservatiivse ravi perioodil, oli haigusloos kajastatud mitu </w:t>
      </w:r>
      <w:proofErr w:type="spellStart"/>
      <w:r w:rsidR="00991D65">
        <w:rPr>
          <w:rFonts w:ascii="Times New Roman" w:hAnsi="Times New Roman" w:cs="Times New Roman"/>
          <w:sz w:val="24"/>
          <w:szCs w:val="24"/>
        </w:rPr>
        <w:t>skoorimist</w:t>
      </w:r>
      <w:proofErr w:type="spellEnd"/>
      <w:r w:rsidR="00991D65">
        <w:rPr>
          <w:rFonts w:ascii="Times New Roman" w:hAnsi="Times New Roman" w:cs="Times New Roman"/>
          <w:sz w:val="24"/>
          <w:szCs w:val="24"/>
        </w:rPr>
        <w:t xml:space="preserve"> ja dokumenteeritud dünaamika</w:t>
      </w:r>
      <w:r w:rsidR="00303701">
        <w:rPr>
          <w:rFonts w:ascii="Times New Roman" w:hAnsi="Times New Roman" w:cs="Times New Roman"/>
          <w:sz w:val="24"/>
          <w:szCs w:val="24"/>
        </w:rPr>
        <w:t xml:space="preserve">. </w:t>
      </w:r>
      <w:r w:rsidR="00991D65">
        <w:rPr>
          <w:rFonts w:ascii="Times New Roman" w:hAnsi="Times New Roman" w:cs="Times New Roman"/>
          <w:sz w:val="24"/>
          <w:szCs w:val="24"/>
        </w:rPr>
        <w:t xml:space="preserve"> </w:t>
      </w:r>
    </w:p>
    <w:p w14:paraId="0C92FE42" w14:textId="5E91A647" w:rsidR="00CF52DF" w:rsidRPr="007860C1" w:rsidRDefault="00CF52DF" w:rsidP="00A834BC">
      <w:pPr>
        <w:pStyle w:val="Heading1"/>
        <w:spacing w:after="240" w:line="240" w:lineRule="auto"/>
        <w:jc w:val="both"/>
        <w:rPr>
          <w:rStyle w:val="Heading1Char"/>
          <w:rFonts w:cs="Times New Roman"/>
          <w:b/>
          <w:color w:val="auto"/>
          <w:szCs w:val="24"/>
        </w:rPr>
      </w:pPr>
      <w:bookmarkStart w:id="20" w:name="_Toc42602892"/>
      <w:bookmarkStart w:id="21" w:name="_Toc75527272"/>
      <w:bookmarkEnd w:id="18"/>
      <w:bookmarkEnd w:id="19"/>
      <w:r w:rsidRPr="007860C1">
        <w:rPr>
          <w:rFonts w:cs="Times New Roman"/>
          <w:bCs/>
          <w:color w:val="auto"/>
          <w:szCs w:val="24"/>
        </w:rPr>
        <w:t>4.</w:t>
      </w:r>
      <w:r w:rsidR="00EE2818" w:rsidRPr="007860C1">
        <w:rPr>
          <w:rFonts w:cs="Times New Roman"/>
          <w:bCs/>
          <w:color w:val="auto"/>
          <w:szCs w:val="24"/>
        </w:rPr>
        <w:t>3</w:t>
      </w:r>
      <w:r w:rsidRPr="007860C1">
        <w:rPr>
          <w:rFonts w:cs="Times New Roman"/>
          <w:bCs/>
          <w:color w:val="auto"/>
          <w:szCs w:val="24"/>
        </w:rPr>
        <w:t>.</w:t>
      </w:r>
      <w:r w:rsidR="00C10504" w:rsidRPr="007860C1">
        <w:rPr>
          <w:rFonts w:cs="Times New Roman"/>
          <w:bCs/>
          <w:color w:val="auto"/>
          <w:szCs w:val="24"/>
        </w:rPr>
        <w:t>2</w:t>
      </w:r>
      <w:r w:rsidRPr="007860C1">
        <w:rPr>
          <w:rFonts w:cs="Times New Roman"/>
          <w:bCs/>
          <w:color w:val="auto"/>
          <w:szCs w:val="24"/>
        </w:rPr>
        <w:t xml:space="preserve">. </w:t>
      </w:r>
      <w:bookmarkEnd w:id="20"/>
      <w:r w:rsidRPr="007860C1">
        <w:rPr>
          <w:rFonts w:cs="Times New Roman"/>
          <w:bCs/>
          <w:color w:val="auto"/>
          <w:szCs w:val="24"/>
        </w:rPr>
        <w:tab/>
      </w:r>
      <w:bookmarkStart w:id="22" w:name="_Toc42602893"/>
      <w:bookmarkEnd w:id="21"/>
      <w:proofErr w:type="spellStart"/>
      <w:r w:rsidR="005169FF" w:rsidRPr="007860C1">
        <w:rPr>
          <w:rStyle w:val="Heading1Char"/>
          <w:rFonts w:cs="Times New Roman"/>
          <w:b/>
          <w:color w:val="auto"/>
          <w:szCs w:val="24"/>
        </w:rPr>
        <w:t>Endoproteesimisele</w:t>
      </w:r>
      <w:proofErr w:type="spellEnd"/>
      <w:r w:rsidR="005169FF" w:rsidRPr="007860C1">
        <w:rPr>
          <w:rStyle w:val="Heading1Char"/>
          <w:rFonts w:cs="Times New Roman"/>
          <w:b/>
          <w:color w:val="auto"/>
          <w:szCs w:val="24"/>
        </w:rPr>
        <w:t xml:space="preserve"> eelnev taastusravi</w:t>
      </w:r>
    </w:p>
    <w:p w14:paraId="14A4E303" w14:textId="61D1731F" w:rsidR="00F75864" w:rsidRPr="00DA4EFF" w:rsidRDefault="00F75864" w:rsidP="00DA4EFF">
      <w:pPr>
        <w:jc w:val="both"/>
        <w:rPr>
          <w:rFonts w:ascii="Times New Roman" w:hAnsi="Times New Roman" w:cs="Times New Roman"/>
          <w:sz w:val="24"/>
          <w:szCs w:val="24"/>
        </w:rPr>
      </w:pPr>
      <w:proofErr w:type="spellStart"/>
      <w:r w:rsidRPr="00DA4EFF">
        <w:rPr>
          <w:rFonts w:ascii="Times New Roman" w:hAnsi="Times New Roman" w:cs="Times New Roman"/>
          <w:sz w:val="24"/>
          <w:szCs w:val="24"/>
        </w:rPr>
        <w:t>Endoproteesimisele</w:t>
      </w:r>
      <w:proofErr w:type="spellEnd"/>
      <w:r w:rsidRPr="00DA4EFF">
        <w:rPr>
          <w:rFonts w:ascii="Times New Roman" w:hAnsi="Times New Roman" w:cs="Times New Roman"/>
          <w:sz w:val="24"/>
          <w:szCs w:val="24"/>
        </w:rPr>
        <w:t xml:space="preserve"> eelnev koksartroosi konservatiivne ravi hõlmab valdavalt </w:t>
      </w:r>
      <w:proofErr w:type="spellStart"/>
      <w:r w:rsidRPr="00DA4EFF">
        <w:rPr>
          <w:rFonts w:ascii="Times New Roman" w:hAnsi="Times New Roman" w:cs="Times New Roman"/>
          <w:sz w:val="24"/>
          <w:szCs w:val="24"/>
        </w:rPr>
        <w:t>medikamentoosset</w:t>
      </w:r>
      <w:proofErr w:type="spellEnd"/>
      <w:r w:rsidRPr="00DA4EFF">
        <w:rPr>
          <w:rFonts w:ascii="Times New Roman" w:hAnsi="Times New Roman" w:cs="Times New Roman"/>
          <w:sz w:val="24"/>
          <w:szCs w:val="24"/>
        </w:rPr>
        <w:t xml:space="preserve"> ravi. Taastusravi ja füsioteraapia on hinnatud raviarvete ja haiguslugude alusel harva kasutatav. Hinnatud 113 patsiendi teekonnas  oli </w:t>
      </w:r>
      <w:proofErr w:type="spellStart"/>
      <w:r w:rsidRPr="00DA4EFF">
        <w:rPr>
          <w:rFonts w:ascii="Times New Roman" w:hAnsi="Times New Roman" w:cs="Times New Roman"/>
          <w:sz w:val="24"/>
          <w:szCs w:val="24"/>
        </w:rPr>
        <w:t>endoproteesimisele</w:t>
      </w:r>
      <w:proofErr w:type="spellEnd"/>
      <w:r w:rsidRPr="00DA4EFF">
        <w:rPr>
          <w:rFonts w:ascii="Times New Roman" w:hAnsi="Times New Roman" w:cs="Times New Roman"/>
          <w:sz w:val="24"/>
          <w:szCs w:val="24"/>
        </w:rPr>
        <w:t xml:space="preserve"> eelneval kuuel kuul taastusravi arsti vastuvõtul käinud </w:t>
      </w:r>
      <w:r w:rsidR="00A963A6" w:rsidRPr="00DA4EFF">
        <w:rPr>
          <w:rFonts w:ascii="Times New Roman" w:hAnsi="Times New Roman" w:cs="Times New Roman"/>
          <w:sz w:val="24"/>
          <w:szCs w:val="24"/>
        </w:rPr>
        <w:t>5</w:t>
      </w:r>
      <w:r w:rsidRPr="00DA4EFF">
        <w:rPr>
          <w:rFonts w:ascii="Times New Roman" w:hAnsi="Times New Roman" w:cs="Times New Roman"/>
          <w:sz w:val="24"/>
          <w:szCs w:val="24"/>
        </w:rPr>
        <w:t xml:space="preserve"> patsienti (</w:t>
      </w:r>
      <w:r w:rsidR="00A963A6" w:rsidRPr="00DA4EFF">
        <w:rPr>
          <w:rFonts w:ascii="Times New Roman" w:hAnsi="Times New Roman" w:cs="Times New Roman"/>
          <w:sz w:val="24"/>
          <w:szCs w:val="24"/>
        </w:rPr>
        <w:t>3,5</w:t>
      </w:r>
      <w:r w:rsidR="00DA4EFF" w:rsidRPr="00DA4EFF">
        <w:rPr>
          <w:rFonts w:ascii="Times New Roman" w:hAnsi="Times New Roman" w:cs="Times New Roman"/>
          <w:sz w:val="24"/>
          <w:szCs w:val="24"/>
        </w:rPr>
        <w:t xml:space="preserve">%). </w:t>
      </w:r>
      <w:proofErr w:type="spellStart"/>
      <w:r w:rsidR="00DA4EFF" w:rsidRPr="00DA4EFF">
        <w:rPr>
          <w:rFonts w:ascii="Times New Roman" w:hAnsi="Times New Roman" w:cs="Times New Roman"/>
          <w:sz w:val="24"/>
          <w:szCs w:val="24"/>
        </w:rPr>
        <w:t>Endoproteesimise</w:t>
      </w:r>
      <w:proofErr w:type="spellEnd"/>
      <w:r w:rsidR="00DA4EFF" w:rsidRPr="00DA4EFF">
        <w:rPr>
          <w:rFonts w:ascii="Times New Roman" w:hAnsi="Times New Roman" w:cs="Times New Roman"/>
          <w:sz w:val="24"/>
          <w:szCs w:val="24"/>
        </w:rPr>
        <w:t xml:space="preserve"> eelselt perearsti poolt füsioteraapia teenuste osutamise raviarveid ja haiguslugusid valimis ei esinenud.</w:t>
      </w:r>
      <w:r w:rsidR="00E71703">
        <w:rPr>
          <w:rFonts w:ascii="Times New Roman" w:hAnsi="Times New Roman" w:cs="Times New Roman"/>
          <w:sz w:val="24"/>
          <w:szCs w:val="24"/>
        </w:rPr>
        <w:t xml:space="preserve"> Taastusravi ja tegevusteraapia võiksid olla osa konservatiivsest ravist ja jätkuda sujuvalt </w:t>
      </w:r>
      <w:proofErr w:type="spellStart"/>
      <w:r w:rsidR="00E71703">
        <w:rPr>
          <w:rFonts w:ascii="Times New Roman" w:hAnsi="Times New Roman" w:cs="Times New Roman"/>
          <w:sz w:val="24"/>
          <w:szCs w:val="24"/>
        </w:rPr>
        <w:t>endoproteesimise</w:t>
      </w:r>
      <w:proofErr w:type="spellEnd"/>
      <w:r w:rsidR="00E71703">
        <w:rPr>
          <w:rFonts w:ascii="Times New Roman" w:hAnsi="Times New Roman" w:cs="Times New Roman"/>
          <w:sz w:val="24"/>
          <w:szCs w:val="24"/>
        </w:rPr>
        <w:t xml:space="preserve"> teekonnal. </w:t>
      </w:r>
      <w:r w:rsidRPr="00DA4EFF">
        <w:rPr>
          <w:rFonts w:ascii="Times New Roman" w:hAnsi="Times New Roman" w:cs="Times New Roman"/>
          <w:sz w:val="24"/>
          <w:szCs w:val="24"/>
        </w:rPr>
        <w:t xml:space="preserve"> </w:t>
      </w:r>
    </w:p>
    <w:p w14:paraId="6C5DC729" w14:textId="74975998" w:rsidR="00A664A0" w:rsidRPr="00D020E9" w:rsidRDefault="00A664A0" w:rsidP="00303701">
      <w:pPr>
        <w:pStyle w:val="Heading1"/>
        <w:numPr>
          <w:ilvl w:val="2"/>
          <w:numId w:val="50"/>
        </w:numPr>
      </w:pPr>
      <w:proofErr w:type="spellStart"/>
      <w:r>
        <w:t>Endoproteesimisele</w:t>
      </w:r>
      <w:proofErr w:type="spellEnd"/>
      <w:r>
        <w:t xml:space="preserve"> eelnev kaasuvate haiguste käsitlemine</w:t>
      </w:r>
    </w:p>
    <w:p w14:paraId="61F7084D" w14:textId="699E864A" w:rsidR="00A664A0" w:rsidRPr="00D020E9" w:rsidRDefault="00DA4EFF" w:rsidP="00D020E9">
      <w:pPr>
        <w:jc w:val="both"/>
        <w:rPr>
          <w:rFonts w:ascii="Times New Roman" w:hAnsi="Times New Roman" w:cs="Times New Roman"/>
          <w:sz w:val="24"/>
          <w:szCs w:val="24"/>
        </w:rPr>
      </w:pPr>
      <w:r w:rsidRPr="00D020E9">
        <w:rPr>
          <w:rFonts w:ascii="Times New Roman" w:hAnsi="Times New Roman" w:cs="Times New Roman"/>
          <w:sz w:val="24"/>
          <w:szCs w:val="24"/>
        </w:rPr>
        <w:t xml:space="preserve">Hinnatud ravidokumentidest ei selgunud, kuidas jõuab informatsioon patsiendi kaasuvatest haigustest ortopeedini. Planeeritava operatsiooni eelselt ortopeedi või anestesioloogi tuvastatud tähelepanu vajavate või </w:t>
      </w:r>
      <w:proofErr w:type="spellStart"/>
      <w:r w:rsidRPr="00D020E9">
        <w:rPr>
          <w:rFonts w:ascii="Times New Roman" w:hAnsi="Times New Roman" w:cs="Times New Roman"/>
          <w:sz w:val="24"/>
          <w:szCs w:val="24"/>
        </w:rPr>
        <w:t>endoprotee</w:t>
      </w:r>
      <w:r w:rsidR="00D020E9" w:rsidRPr="00D020E9">
        <w:rPr>
          <w:rFonts w:ascii="Times New Roman" w:hAnsi="Times New Roman" w:cs="Times New Roman"/>
          <w:sz w:val="24"/>
          <w:szCs w:val="24"/>
        </w:rPr>
        <w:t>simist</w:t>
      </w:r>
      <w:proofErr w:type="spellEnd"/>
      <w:r w:rsidRPr="00D020E9">
        <w:rPr>
          <w:rFonts w:ascii="Times New Roman" w:hAnsi="Times New Roman" w:cs="Times New Roman"/>
          <w:sz w:val="24"/>
          <w:szCs w:val="24"/>
        </w:rPr>
        <w:t xml:space="preserve"> välistavate kaasuvate haiguste olemasolu või puudulik käsitlus</w:t>
      </w:r>
      <w:r w:rsidR="00D020E9" w:rsidRPr="00D020E9">
        <w:rPr>
          <w:rFonts w:ascii="Times New Roman" w:hAnsi="Times New Roman" w:cs="Times New Roman"/>
          <w:sz w:val="24"/>
          <w:szCs w:val="24"/>
        </w:rPr>
        <w:t xml:space="preserve">e vastutus varieerub. Ravidokumentide põhjal jäi </w:t>
      </w:r>
      <w:r w:rsidRPr="00D020E9">
        <w:rPr>
          <w:rFonts w:ascii="Times New Roman" w:hAnsi="Times New Roman" w:cs="Times New Roman"/>
          <w:sz w:val="24"/>
          <w:szCs w:val="24"/>
        </w:rPr>
        <w:t>selgusetuks</w:t>
      </w:r>
      <w:r w:rsidR="00A87263">
        <w:rPr>
          <w:rFonts w:ascii="Times New Roman" w:hAnsi="Times New Roman" w:cs="Times New Roman"/>
          <w:sz w:val="24"/>
          <w:szCs w:val="24"/>
        </w:rPr>
        <w:t xml:space="preserve">, </w:t>
      </w:r>
      <w:r w:rsidRPr="00D020E9">
        <w:rPr>
          <w:rFonts w:ascii="Times New Roman" w:hAnsi="Times New Roman" w:cs="Times New Roman"/>
          <w:sz w:val="24"/>
          <w:szCs w:val="24"/>
        </w:rPr>
        <w:t xml:space="preserve">kelle vastutada on kaasuvate haiguste ravi korrigeerimine, et </w:t>
      </w:r>
      <w:proofErr w:type="spellStart"/>
      <w:r w:rsidRPr="00D020E9">
        <w:rPr>
          <w:rFonts w:ascii="Times New Roman" w:hAnsi="Times New Roman" w:cs="Times New Roman"/>
          <w:sz w:val="24"/>
          <w:szCs w:val="24"/>
        </w:rPr>
        <w:t>endoproteesimine</w:t>
      </w:r>
      <w:proofErr w:type="spellEnd"/>
      <w:r w:rsidRPr="00D020E9">
        <w:rPr>
          <w:rFonts w:ascii="Times New Roman" w:hAnsi="Times New Roman" w:cs="Times New Roman"/>
          <w:sz w:val="24"/>
          <w:szCs w:val="24"/>
        </w:rPr>
        <w:t xml:space="preserve"> võimalikuks muutuks</w:t>
      </w:r>
      <w:r w:rsidR="00A87263">
        <w:rPr>
          <w:rFonts w:ascii="Times New Roman" w:hAnsi="Times New Roman" w:cs="Times New Roman"/>
          <w:sz w:val="24"/>
          <w:szCs w:val="24"/>
        </w:rPr>
        <w:t>,</w:t>
      </w:r>
      <w:r w:rsidR="00D020E9">
        <w:rPr>
          <w:rFonts w:ascii="Times New Roman" w:hAnsi="Times New Roman" w:cs="Times New Roman"/>
          <w:sz w:val="24"/>
          <w:szCs w:val="24"/>
        </w:rPr>
        <w:t xml:space="preserve"> või kuidas mõjutab see patsiendi asukoht </w:t>
      </w:r>
      <w:proofErr w:type="spellStart"/>
      <w:r w:rsidR="00D020E9">
        <w:rPr>
          <w:rFonts w:ascii="Times New Roman" w:hAnsi="Times New Roman" w:cs="Times New Roman"/>
          <w:sz w:val="24"/>
          <w:szCs w:val="24"/>
        </w:rPr>
        <w:t>endoproteesimise</w:t>
      </w:r>
      <w:proofErr w:type="spellEnd"/>
      <w:r w:rsidR="00D020E9">
        <w:rPr>
          <w:rFonts w:ascii="Times New Roman" w:hAnsi="Times New Roman" w:cs="Times New Roman"/>
          <w:sz w:val="24"/>
          <w:szCs w:val="24"/>
        </w:rPr>
        <w:t xml:space="preserve"> järjekorras</w:t>
      </w:r>
      <w:r w:rsidR="00A87263">
        <w:rPr>
          <w:rFonts w:ascii="Times New Roman" w:hAnsi="Times New Roman" w:cs="Times New Roman"/>
          <w:sz w:val="24"/>
          <w:szCs w:val="24"/>
        </w:rPr>
        <w:t xml:space="preserve">. </w:t>
      </w:r>
    </w:p>
    <w:bookmarkEnd w:id="22"/>
    <w:p w14:paraId="199D69A4" w14:textId="1F385C47" w:rsidR="0029411F" w:rsidRPr="007860C1" w:rsidRDefault="0029411F" w:rsidP="00303701">
      <w:pPr>
        <w:pStyle w:val="Heading1"/>
        <w:numPr>
          <w:ilvl w:val="2"/>
          <w:numId w:val="50"/>
        </w:numPr>
        <w:jc w:val="both"/>
        <w:rPr>
          <w:rFonts w:cs="Times New Roman"/>
          <w:szCs w:val="24"/>
        </w:rPr>
      </w:pPr>
      <w:r w:rsidRPr="007860C1">
        <w:rPr>
          <w:rFonts w:cs="Times New Roman"/>
          <w:szCs w:val="24"/>
        </w:rPr>
        <w:lastRenderedPageBreak/>
        <w:t>Haiglas teostatud taastusravi ja füsioteraapia</w:t>
      </w:r>
    </w:p>
    <w:p w14:paraId="462A3D21" w14:textId="3EE485AB" w:rsidR="0019783B" w:rsidRDefault="00F75864" w:rsidP="00DA4EFF">
      <w:pPr>
        <w:jc w:val="both"/>
        <w:rPr>
          <w:rFonts w:ascii="Times New Roman" w:hAnsi="Times New Roman" w:cs="Times New Roman"/>
          <w:sz w:val="24"/>
          <w:szCs w:val="24"/>
        </w:rPr>
      </w:pPr>
      <w:r w:rsidRPr="007860C1">
        <w:rPr>
          <w:rFonts w:ascii="Times New Roman" w:hAnsi="Times New Roman" w:cs="Times New Roman"/>
          <w:sz w:val="24"/>
          <w:szCs w:val="24"/>
        </w:rPr>
        <w:t xml:space="preserve">Praktika selle osas, millal algab patsiendil puusaliigese </w:t>
      </w:r>
      <w:proofErr w:type="spellStart"/>
      <w:r w:rsidRPr="007860C1">
        <w:rPr>
          <w:rFonts w:ascii="Times New Roman" w:hAnsi="Times New Roman" w:cs="Times New Roman"/>
          <w:sz w:val="24"/>
          <w:szCs w:val="24"/>
        </w:rPr>
        <w:t>endoproteesimiseks</w:t>
      </w:r>
      <w:proofErr w:type="spellEnd"/>
      <w:r w:rsidRPr="007860C1">
        <w:rPr>
          <w:rFonts w:ascii="Times New Roman" w:hAnsi="Times New Roman" w:cs="Times New Roman"/>
          <w:sz w:val="24"/>
          <w:szCs w:val="24"/>
        </w:rPr>
        <w:t xml:space="preserve"> hospitaliseerimisel füsioteraapia on erinevad. Hindamise põhjal võib öelda, et </w:t>
      </w:r>
      <w:r w:rsidR="00820804">
        <w:rPr>
          <w:rFonts w:ascii="Times New Roman" w:hAnsi="Times New Roman" w:cs="Times New Roman"/>
          <w:sz w:val="24"/>
          <w:szCs w:val="24"/>
        </w:rPr>
        <w:t>kahes</w:t>
      </w:r>
      <w:r w:rsidRPr="007860C1">
        <w:rPr>
          <w:rFonts w:ascii="Times New Roman" w:hAnsi="Times New Roman" w:cs="Times New Roman"/>
          <w:sz w:val="24"/>
          <w:szCs w:val="24"/>
        </w:rPr>
        <w:t xml:space="preserve"> asutuses</w:t>
      </w:r>
      <w:r w:rsidR="00A87263">
        <w:rPr>
          <w:rFonts w:ascii="Times New Roman" w:hAnsi="Times New Roman" w:cs="Times New Roman"/>
          <w:sz w:val="24"/>
          <w:szCs w:val="24"/>
        </w:rPr>
        <w:t xml:space="preserve"> </w:t>
      </w:r>
      <w:r w:rsidRPr="007860C1">
        <w:rPr>
          <w:rFonts w:ascii="Times New Roman" w:hAnsi="Times New Roman" w:cs="Times New Roman"/>
          <w:sz w:val="24"/>
          <w:szCs w:val="24"/>
        </w:rPr>
        <w:t xml:space="preserve">algab see juba enne operatsiooni. </w:t>
      </w:r>
      <w:r w:rsidR="00943D32" w:rsidRPr="007860C1">
        <w:rPr>
          <w:rFonts w:ascii="Times New Roman" w:hAnsi="Times New Roman" w:cs="Times New Roman"/>
          <w:sz w:val="24"/>
          <w:szCs w:val="24"/>
        </w:rPr>
        <w:t xml:space="preserve">Sel puhul tutvustab füsioterapeut patsiendile eelseisvat taastusravi protsessi ja teostab eelneva hindamise. </w:t>
      </w:r>
      <w:r w:rsidR="00820804">
        <w:rPr>
          <w:rFonts w:ascii="Times New Roman" w:hAnsi="Times New Roman" w:cs="Times New Roman"/>
          <w:sz w:val="24"/>
          <w:szCs w:val="24"/>
        </w:rPr>
        <w:t>Kahes</w:t>
      </w:r>
      <w:r w:rsidR="00943D32" w:rsidRPr="007860C1">
        <w:rPr>
          <w:rFonts w:ascii="Times New Roman" w:hAnsi="Times New Roman" w:cs="Times New Roman"/>
          <w:sz w:val="24"/>
          <w:szCs w:val="24"/>
        </w:rPr>
        <w:t xml:space="preserve"> asutuses alustatakse füsioteraapiaga postoperatiivselt operatsioonipäeval ja </w:t>
      </w:r>
      <w:r w:rsidR="00820804">
        <w:rPr>
          <w:rFonts w:ascii="Times New Roman" w:hAnsi="Times New Roman" w:cs="Times New Roman"/>
          <w:sz w:val="24"/>
          <w:szCs w:val="24"/>
        </w:rPr>
        <w:t>neljas</w:t>
      </w:r>
      <w:r w:rsidR="00943D32" w:rsidRPr="007860C1">
        <w:rPr>
          <w:rFonts w:ascii="Times New Roman" w:hAnsi="Times New Roman" w:cs="Times New Roman"/>
          <w:sz w:val="24"/>
          <w:szCs w:val="24"/>
        </w:rPr>
        <w:t xml:space="preserve"> asutuses esimesel postoperatiivsel päeval.</w:t>
      </w:r>
    </w:p>
    <w:p w14:paraId="335C92C5" w14:textId="48409879" w:rsidR="00895B69" w:rsidRDefault="00895B69" w:rsidP="00DA4EFF">
      <w:pPr>
        <w:jc w:val="both"/>
        <w:rPr>
          <w:rFonts w:ascii="Times New Roman" w:hAnsi="Times New Roman" w:cs="Times New Roman"/>
          <w:sz w:val="24"/>
          <w:szCs w:val="24"/>
        </w:rPr>
      </w:pPr>
      <w:r>
        <w:rPr>
          <w:rFonts w:ascii="Times New Roman" w:hAnsi="Times New Roman" w:cs="Times New Roman"/>
          <w:sz w:val="24"/>
          <w:szCs w:val="24"/>
        </w:rPr>
        <w:t xml:space="preserve">Ravidokumentide hindamisel põhjal ei tuvastatud ühtset süsteemi, mille alusel otsustatakse patsientide taastusravi vajadus ja suunamine. </w:t>
      </w:r>
    </w:p>
    <w:p w14:paraId="5E8B1D1A" w14:textId="146F6BCE" w:rsidR="00F75864" w:rsidRPr="007860C1" w:rsidRDefault="0019783B" w:rsidP="00DA4EFF">
      <w:pPr>
        <w:jc w:val="both"/>
        <w:rPr>
          <w:rFonts w:ascii="Times New Roman" w:hAnsi="Times New Roman" w:cs="Times New Roman"/>
          <w:sz w:val="24"/>
          <w:szCs w:val="24"/>
        </w:rPr>
      </w:pPr>
      <w:proofErr w:type="spellStart"/>
      <w:r>
        <w:rPr>
          <w:rFonts w:ascii="Times New Roman" w:hAnsi="Times New Roman" w:cs="Times New Roman"/>
          <w:sz w:val="24"/>
          <w:szCs w:val="24"/>
        </w:rPr>
        <w:t>Endoproteesimise</w:t>
      </w:r>
      <w:proofErr w:type="spellEnd"/>
      <w:r>
        <w:rPr>
          <w:rFonts w:ascii="Times New Roman" w:hAnsi="Times New Roman" w:cs="Times New Roman"/>
          <w:sz w:val="24"/>
          <w:szCs w:val="24"/>
        </w:rPr>
        <w:t xml:space="preserve"> haigusjuhu raames osutatud füsioteraapia sisu dokumenteerimine on välja toodud</w:t>
      </w:r>
      <w:r w:rsidR="00943D32" w:rsidRPr="007860C1">
        <w:rPr>
          <w:rFonts w:ascii="Times New Roman" w:hAnsi="Times New Roman" w:cs="Times New Roman"/>
          <w:sz w:val="24"/>
          <w:szCs w:val="24"/>
        </w:rPr>
        <w:t xml:space="preserve"> </w:t>
      </w:r>
      <w:r>
        <w:rPr>
          <w:rFonts w:ascii="Times New Roman" w:hAnsi="Times New Roman" w:cs="Times New Roman"/>
          <w:sz w:val="24"/>
          <w:szCs w:val="24"/>
        </w:rPr>
        <w:t>pea</w:t>
      </w:r>
      <w:r w:rsidR="00303701">
        <w:rPr>
          <w:rFonts w:ascii="Times New Roman" w:hAnsi="Times New Roman" w:cs="Times New Roman"/>
          <w:sz w:val="24"/>
          <w:szCs w:val="24"/>
        </w:rPr>
        <w:t>tük</w:t>
      </w:r>
      <w:r>
        <w:rPr>
          <w:rFonts w:ascii="Times New Roman" w:hAnsi="Times New Roman" w:cs="Times New Roman"/>
          <w:sz w:val="24"/>
          <w:szCs w:val="24"/>
        </w:rPr>
        <w:t xml:space="preserve">is 4.1 Ravidokumentide vormistamine. </w:t>
      </w:r>
    </w:p>
    <w:p w14:paraId="4A13B1C4" w14:textId="312CB54C" w:rsidR="0029411F" w:rsidRPr="007860C1" w:rsidRDefault="0029411F" w:rsidP="00A834BC">
      <w:pPr>
        <w:pStyle w:val="Heading1"/>
        <w:jc w:val="both"/>
        <w:rPr>
          <w:rFonts w:cs="Times New Roman"/>
          <w:szCs w:val="24"/>
        </w:rPr>
      </w:pPr>
      <w:r w:rsidRPr="007860C1">
        <w:rPr>
          <w:rFonts w:cs="Times New Roman"/>
          <w:szCs w:val="24"/>
        </w:rPr>
        <w:t>4.</w:t>
      </w:r>
      <w:r w:rsidR="002869B8" w:rsidRPr="007860C1">
        <w:rPr>
          <w:rFonts w:cs="Times New Roman"/>
          <w:szCs w:val="24"/>
        </w:rPr>
        <w:t>3</w:t>
      </w:r>
      <w:r w:rsidRPr="007860C1">
        <w:rPr>
          <w:rFonts w:cs="Times New Roman"/>
          <w:szCs w:val="24"/>
        </w:rPr>
        <w:t>.</w:t>
      </w:r>
      <w:r w:rsidR="00303701">
        <w:rPr>
          <w:rFonts w:cs="Times New Roman"/>
          <w:szCs w:val="24"/>
        </w:rPr>
        <w:t xml:space="preserve">5 </w:t>
      </w:r>
      <w:r w:rsidRPr="007860C1">
        <w:rPr>
          <w:rFonts w:cs="Times New Roman"/>
          <w:szCs w:val="24"/>
        </w:rPr>
        <w:t xml:space="preserve"> Patsiendile antavad juhised </w:t>
      </w:r>
      <w:proofErr w:type="spellStart"/>
      <w:r w:rsidRPr="007860C1">
        <w:rPr>
          <w:rFonts w:cs="Times New Roman"/>
          <w:szCs w:val="24"/>
        </w:rPr>
        <w:t>endoproteesimise</w:t>
      </w:r>
      <w:proofErr w:type="spellEnd"/>
      <w:r w:rsidRPr="007860C1">
        <w:rPr>
          <w:rFonts w:cs="Times New Roman"/>
          <w:szCs w:val="24"/>
        </w:rPr>
        <w:t xml:space="preserve"> järgseks perioodiks</w:t>
      </w:r>
    </w:p>
    <w:p w14:paraId="699A3D64" w14:textId="51691683" w:rsidR="0019783B" w:rsidRDefault="00004723" w:rsidP="00A647A2">
      <w:pPr>
        <w:jc w:val="both"/>
        <w:rPr>
          <w:rFonts w:ascii="Times New Roman" w:hAnsi="Times New Roman" w:cs="Times New Roman"/>
          <w:sz w:val="24"/>
          <w:szCs w:val="24"/>
        </w:rPr>
      </w:pPr>
      <w:r>
        <w:rPr>
          <w:rFonts w:ascii="Times New Roman" w:hAnsi="Times New Roman" w:cs="Times New Roman"/>
          <w:sz w:val="24"/>
          <w:szCs w:val="24"/>
        </w:rPr>
        <w:t xml:space="preserve">Raviasutuste praktikad patsiendile </w:t>
      </w:r>
      <w:proofErr w:type="spellStart"/>
      <w:r>
        <w:rPr>
          <w:rFonts w:ascii="Times New Roman" w:hAnsi="Times New Roman" w:cs="Times New Roman"/>
          <w:sz w:val="24"/>
          <w:szCs w:val="24"/>
        </w:rPr>
        <w:t>endoproteesimise</w:t>
      </w:r>
      <w:proofErr w:type="spellEnd"/>
      <w:r>
        <w:rPr>
          <w:rFonts w:ascii="Times New Roman" w:hAnsi="Times New Roman" w:cs="Times New Roman"/>
          <w:sz w:val="24"/>
          <w:szCs w:val="24"/>
        </w:rPr>
        <w:t xml:space="preserve"> järgselt toimetuleku soovituste andmine on samuti suure varieeruvusega. Väga levinud on valuravi, </w:t>
      </w:r>
      <w:proofErr w:type="spellStart"/>
      <w:r>
        <w:rPr>
          <w:rFonts w:ascii="Times New Roman" w:hAnsi="Times New Roman" w:cs="Times New Roman"/>
          <w:sz w:val="24"/>
          <w:szCs w:val="24"/>
        </w:rPr>
        <w:t>antitromboot</w:t>
      </w:r>
      <w:r w:rsidR="00303701">
        <w:rPr>
          <w:rFonts w:ascii="Times New Roman" w:hAnsi="Times New Roman" w:cs="Times New Roman"/>
          <w:sz w:val="24"/>
          <w:szCs w:val="24"/>
        </w:rPr>
        <w:t>i</w:t>
      </w:r>
      <w:r>
        <w:rPr>
          <w:rFonts w:ascii="Times New Roman" w:hAnsi="Times New Roman" w:cs="Times New Roman"/>
          <w:sz w:val="24"/>
          <w:szCs w:val="24"/>
        </w:rPr>
        <w:t>lise</w:t>
      </w:r>
      <w:proofErr w:type="spellEnd"/>
      <w:r>
        <w:rPr>
          <w:rFonts w:ascii="Times New Roman" w:hAnsi="Times New Roman" w:cs="Times New Roman"/>
          <w:sz w:val="24"/>
          <w:szCs w:val="24"/>
        </w:rPr>
        <w:t xml:space="preserve"> ravi, haava hoolduse, hematoomide hoolduse ja liikumissoovituste kohta soovituste kirjapanek </w:t>
      </w:r>
      <w:proofErr w:type="spellStart"/>
      <w:r>
        <w:rPr>
          <w:rFonts w:ascii="Times New Roman" w:hAnsi="Times New Roman" w:cs="Times New Roman"/>
          <w:sz w:val="24"/>
          <w:szCs w:val="24"/>
        </w:rPr>
        <w:t>epikriisile</w:t>
      </w:r>
      <w:proofErr w:type="spellEnd"/>
      <w:r>
        <w:rPr>
          <w:rFonts w:ascii="Times New Roman" w:hAnsi="Times New Roman" w:cs="Times New Roman"/>
          <w:sz w:val="24"/>
          <w:szCs w:val="24"/>
        </w:rPr>
        <w:t xml:space="preserve">. Ravidokumentide põhjal ei olnud võimalik tuvastada, kui palju kirjapandud informatsioonist ka patsiendiga läbi arutati. </w:t>
      </w:r>
      <w:r w:rsidR="00A647A2">
        <w:rPr>
          <w:rFonts w:ascii="Times New Roman" w:hAnsi="Times New Roman" w:cs="Times New Roman"/>
          <w:sz w:val="24"/>
          <w:szCs w:val="24"/>
        </w:rPr>
        <w:t xml:space="preserve">Samuti oli lisatud järelkontrolli toimumise aeg (mitme kuu möödudes) ja jäetud juhised, kuidas järelkontrolli korraldada (nt mitu kuud eelnevalt on valik registratuuri pöördumine). </w:t>
      </w:r>
    </w:p>
    <w:p w14:paraId="5ACC6D28" w14:textId="04D6E37C" w:rsidR="00A647A2" w:rsidRPr="007860C1" w:rsidRDefault="00004723" w:rsidP="00A647A2">
      <w:pPr>
        <w:jc w:val="both"/>
        <w:rPr>
          <w:rFonts w:ascii="Times New Roman" w:hAnsi="Times New Roman" w:cs="Times New Roman"/>
          <w:sz w:val="24"/>
          <w:szCs w:val="24"/>
        </w:rPr>
      </w:pPr>
      <w:r>
        <w:rPr>
          <w:rFonts w:ascii="Times New Roman" w:hAnsi="Times New Roman" w:cs="Times New Roman"/>
          <w:sz w:val="24"/>
          <w:szCs w:val="24"/>
        </w:rPr>
        <w:t xml:space="preserve">Sage oli ka informatsiooni lisamine selle osas, millised on olulised </w:t>
      </w:r>
      <w:r w:rsidR="00A87263">
        <w:rPr>
          <w:rFonts w:ascii="Times New Roman" w:hAnsi="Times New Roman" w:cs="Times New Roman"/>
          <w:sz w:val="24"/>
          <w:szCs w:val="24"/>
        </w:rPr>
        <w:t xml:space="preserve">ohumärgid, mille ilmnemisel erakorralist abi otsida ja kuhu siis pöörduda. </w:t>
      </w:r>
    </w:p>
    <w:p w14:paraId="6382EE0B" w14:textId="341FDA2D" w:rsidR="0029411F" w:rsidRPr="007860C1" w:rsidRDefault="0029411F" w:rsidP="00A834BC">
      <w:pPr>
        <w:pStyle w:val="Heading1"/>
        <w:jc w:val="both"/>
        <w:rPr>
          <w:rFonts w:cs="Times New Roman"/>
          <w:szCs w:val="24"/>
        </w:rPr>
      </w:pPr>
      <w:r w:rsidRPr="007860C1">
        <w:rPr>
          <w:rFonts w:cs="Times New Roman"/>
          <w:szCs w:val="24"/>
        </w:rPr>
        <w:t>4.</w:t>
      </w:r>
      <w:r w:rsidR="002869B8" w:rsidRPr="007860C1">
        <w:rPr>
          <w:rFonts w:cs="Times New Roman"/>
          <w:szCs w:val="24"/>
        </w:rPr>
        <w:t>3</w:t>
      </w:r>
      <w:r w:rsidRPr="007860C1">
        <w:rPr>
          <w:rFonts w:cs="Times New Roman"/>
          <w:szCs w:val="24"/>
        </w:rPr>
        <w:t>.</w:t>
      </w:r>
      <w:r w:rsidR="00303701">
        <w:rPr>
          <w:rFonts w:cs="Times New Roman"/>
          <w:szCs w:val="24"/>
        </w:rPr>
        <w:t>6</w:t>
      </w:r>
      <w:r w:rsidRPr="007860C1">
        <w:rPr>
          <w:rFonts w:cs="Times New Roman"/>
          <w:szCs w:val="24"/>
        </w:rPr>
        <w:t xml:space="preserve"> Patsiendi suunamine taastu</w:t>
      </w:r>
      <w:r w:rsidR="00A87263">
        <w:rPr>
          <w:rFonts w:cs="Times New Roman"/>
          <w:szCs w:val="24"/>
        </w:rPr>
        <w:t>s</w:t>
      </w:r>
      <w:r w:rsidRPr="007860C1">
        <w:rPr>
          <w:rFonts w:cs="Times New Roman"/>
          <w:szCs w:val="24"/>
        </w:rPr>
        <w:t>ravile</w:t>
      </w:r>
    </w:p>
    <w:p w14:paraId="0174E383" w14:textId="1E05C68F" w:rsidR="00943D32" w:rsidRPr="007860C1" w:rsidRDefault="00A87263" w:rsidP="00A647A2">
      <w:pPr>
        <w:jc w:val="both"/>
        <w:rPr>
          <w:rFonts w:ascii="Times New Roman" w:hAnsi="Times New Roman" w:cs="Times New Roman"/>
          <w:sz w:val="24"/>
          <w:szCs w:val="24"/>
        </w:rPr>
      </w:pPr>
      <w:proofErr w:type="spellStart"/>
      <w:r>
        <w:rPr>
          <w:rFonts w:ascii="Times New Roman" w:hAnsi="Times New Roman" w:cs="Times New Roman"/>
          <w:sz w:val="24"/>
          <w:szCs w:val="24"/>
        </w:rPr>
        <w:t>Endoproteesimise</w:t>
      </w:r>
      <w:proofErr w:type="spellEnd"/>
      <w:r>
        <w:rPr>
          <w:rFonts w:ascii="Times New Roman" w:hAnsi="Times New Roman" w:cs="Times New Roman"/>
          <w:sz w:val="24"/>
          <w:szCs w:val="24"/>
        </w:rPr>
        <w:t xml:space="preserve"> järgselt suunati statsionaarsele ravile (</w:t>
      </w:r>
      <w:proofErr w:type="spellStart"/>
      <w:r>
        <w:rPr>
          <w:rFonts w:ascii="Times New Roman" w:hAnsi="Times New Roman" w:cs="Times New Roman"/>
          <w:sz w:val="24"/>
          <w:szCs w:val="24"/>
        </w:rPr>
        <w:t>järelravi</w:t>
      </w:r>
      <w:proofErr w:type="spellEnd"/>
      <w:r>
        <w:rPr>
          <w:rFonts w:ascii="Times New Roman" w:hAnsi="Times New Roman" w:cs="Times New Roman"/>
          <w:sz w:val="24"/>
          <w:szCs w:val="24"/>
        </w:rPr>
        <w:t xml:space="preserve">, õendusravi, taastusravi) 60 patsienti (42% valimist) ja ambulatoorsele taastusravile 32 patsienti (23% valimist). Saatjaks oli </w:t>
      </w:r>
      <w:proofErr w:type="spellStart"/>
      <w:r>
        <w:rPr>
          <w:rFonts w:ascii="Times New Roman" w:hAnsi="Times New Roman" w:cs="Times New Roman"/>
          <w:sz w:val="24"/>
          <w:szCs w:val="24"/>
        </w:rPr>
        <w:t>endoproteesimist</w:t>
      </w:r>
      <w:proofErr w:type="spellEnd"/>
      <w:r>
        <w:rPr>
          <w:rFonts w:ascii="Times New Roman" w:hAnsi="Times New Roman" w:cs="Times New Roman"/>
          <w:sz w:val="24"/>
          <w:szCs w:val="24"/>
        </w:rPr>
        <w:t xml:space="preserve"> teostanud asutus. </w:t>
      </w:r>
      <w:r w:rsidR="00A647A2">
        <w:rPr>
          <w:rFonts w:ascii="Times New Roman" w:hAnsi="Times New Roman" w:cs="Times New Roman"/>
          <w:sz w:val="24"/>
          <w:szCs w:val="24"/>
        </w:rPr>
        <w:t>10 juhul suunas patsiendi operatsioonijärgselt taastusravisse perearst.</w:t>
      </w:r>
    </w:p>
    <w:p w14:paraId="716AB208" w14:textId="6E43C14D" w:rsidR="0029411F" w:rsidRPr="007860C1" w:rsidRDefault="0029411F" w:rsidP="00A834BC">
      <w:pPr>
        <w:pStyle w:val="Heading1"/>
        <w:jc w:val="both"/>
        <w:rPr>
          <w:rFonts w:cs="Times New Roman"/>
          <w:szCs w:val="24"/>
        </w:rPr>
      </w:pPr>
      <w:r w:rsidRPr="007860C1">
        <w:rPr>
          <w:rFonts w:cs="Times New Roman"/>
          <w:szCs w:val="24"/>
        </w:rPr>
        <w:t>4.</w:t>
      </w:r>
      <w:r w:rsidR="002869B8" w:rsidRPr="007860C1">
        <w:rPr>
          <w:rFonts w:cs="Times New Roman"/>
          <w:szCs w:val="24"/>
        </w:rPr>
        <w:t>3</w:t>
      </w:r>
      <w:r w:rsidRPr="007860C1">
        <w:rPr>
          <w:rFonts w:cs="Times New Roman"/>
          <w:szCs w:val="24"/>
        </w:rPr>
        <w:t>.</w:t>
      </w:r>
      <w:r w:rsidR="00303701">
        <w:rPr>
          <w:rFonts w:cs="Times New Roman"/>
          <w:szCs w:val="24"/>
        </w:rPr>
        <w:t>7</w:t>
      </w:r>
      <w:r w:rsidRPr="007860C1">
        <w:rPr>
          <w:rFonts w:cs="Times New Roman"/>
          <w:szCs w:val="24"/>
        </w:rPr>
        <w:t xml:space="preserve"> Järelkontroll</w:t>
      </w:r>
    </w:p>
    <w:p w14:paraId="1DB0A669" w14:textId="479190E2" w:rsidR="00CD3B89" w:rsidRDefault="00A647A2" w:rsidP="00A834BC">
      <w:pPr>
        <w:spacing w:line="240" w:lineRule="auto"/>
        <w:jc w:val="both"/>
        <w:rPr>
          <w:rFonts w:ascii="Times New Roman" w:hAnsi="Times New Roman" w:cs="Times New Roman"/>
          <w:sz w:val="24"/>
          <w:szCs w:val="24"/>
        </w:rPr>
      </w:pPr>
      <w:r w:rsidRPr="00A647A2">
        <w:rPr>
          <w:rFonts w:ascii="Times New Roman" w:hAnsi="Times New Roman" w:cs="Times New Roman"/>
          <w:sz w:val="24"/>
          <w:szCs w:val="24"/>
        </w:rPr>
        <w:t xml:space="preserve">Järelkontrolli kutsumise aeg sõltus asutusest. Esimene järelkontroll võidi planeerida 2, 4, 6 või 12 kuu möödumisel. </w:t>
      </w:r>
      <w:r>
        <w:rPr>
          <w:rFonts w:ascii="Times New Roman" w:hAnsi="Times New Roman" w:cs="Times New Roman"/>
          <w:sz w:val="24"/>
          <w:szCs w:val="24"/>
        </w:rPr>
        <w:t xml:space="preserve">Järelkontrollis </w:t>
      </w:r>
      <w:proofErr w:type="spellStart"/>
      <w:r>
        <w:rPr>
          <w:rFonts w:ascii="Times New Roman" w:hAnsi="Times New Roman" w:cs="Times New Roman"/>
          <w:sz w:val="24"/>
          <w:szCs w:val="24"/>
        </w:rPr>
        <w:t>epikriisides</w:t>
      </w:r>
      <w:proofErr w:type="spellEnd"/>
      <w:r>
        <w:rPr>
          <w:rFonts w:ascii="Times New Roman" w:hAnsi="Times New Roman" w:cs="Times New Roman"/>
          <w:sz w:val="24"/>
          <w:szCs w:val="24"/>
        </w:rPr>
        <w:t xml:space="preserve"> oli dokumenteeritud patsiendi seisund ja röntge</w:t>
      </w:r>
      <w:r w:rsidR="00303701">
        <w:rPr>
          <w:rFonts w:ascii="Times New Roman" w:hAnsi="Times New Roman" w:cs="Times New Roman"/>
          <w:sz w:val="24"/>
          <w:szCs w:val="24"/>
        </w:rPr>
        <w:t>n</w:t>
      </w:r>
      <w:r>
        <w:rPr>
          <w:rFonts w:ascii="Times New Roman" w:hAnsi="Times New Roman" w:cs="Times New Roman"/>
          <w:sz w:val="24"/>
          <w:szCs w:val="24"/>
        </w:rPr>
        <w:t xml:space="preserve">ülesvõttel nähtav proteesi asend. </w:t>
      </w:r>
    </w:p>
    <w:p w14:paraId="1B9B72F6" w14:textId="4A24D26F" w:rsidR="00A647A2" w:rsidRPr="00A647A2" w:rsidRDefault="00A647A2" w:rsidP="00A834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Järelkontrolli kokkuvõttesse märgiti ära ka järgmise järelkontrolli aeg, mis enamasti oli 1 või 2 aasta pärast. </w:t>
      </w:r>
    </w:p>
    <w:p w14:paraId="4F1F8330" w14:textId="57C161B7" w:rsidR="00CF52DF" w:rsidRPr="007860C1" w:rsidRDefault="00991D65" w:rsidP="00303701">
      <w:pPr>
        <w:pStyle w:val="Heading1"/>
        <w:numPr>
          <w:ilvl w:val="1"/>
          <w:numId w:val="50"/>
        </w:numPr>
        <w:spacing w:after="240" w:line="240" w:lineRule="auto"/>
        <w:jc w:val="both"/>
        <w:rPr>
          <w:rFonts w:cs="Times New Roman"/>
          <w:b w:val="0"/>
          <w:bCs/>
          <w:szCs w:val="24"/>
        </w:rPr>
      </w:pPr>
      <w:r w:rsidRPr="00991D65">
        <w:t>SO</w:t>
      </w:r>
      <w:r>
        <w:rPr>
          <w:rFonts w:cs="Times New Roman"/>
          <w:bCs/>
          <w:szCs w:val="24"/>
        </w:rPr>
        <w:t>OVITUSED ENDOPROTEESIMISE RAVITEEKONNA KUJUNDAMISEKS</w:t>
      </w:r>
    </w:p>
    <w:p w14:paraId="675E8E63" w14:textId="19B847BC" w:rsidR="00DA4EFF" w:rsidRPr="00991D65" w:rsidRDefault="00991D65" w:rsidP="00A834BC">
      <w:pPr>
        <w:spacing w:line="240" w:lineRule="auto"/>
        <w:jc w:val="both"/>
        <w:rPr>
          <w:rFonts w:ascii="Times New Roman" w:hAnsi="Times New Roman" w:cs="Times New Roman"/>
          <w:sz w:val="24"/>
          <w:szCs w:val="24"/>
        </w:rPr>
      </w:pPr>
      <w:bookmarkStart w:id="23" w:name="_Hlk64559059"/>
      <w:r w:rsidRPr="00991D65">
        <w:rPr>
          <w:rFonts w:ascii="Times New Roman" w:hAnsi="Times New Roman" w:cs="Times New Roman"/>
          <w:sz w:val="24"/>
          <w:szCs w:val="24"/>
        </w:rPr>
        <w:t xml:space="preserve">Hinnatud juhtude põhjal oleks vajalik ühtse teekonna kujundamine ja kokkuleppimine </w:t>
      </w:r>
      <w:proofErr w:type="spellStart"/>
      <w:r>
        <w:rPr>
          <w:rFonts w:ascii="Times New Roman" w:hAnsi="Times New Roman" w:cs="Times New Roman"/>
          <w:sz w:val="24"/>
          <w:szCs w:val="24"/>
        </w:rPr>
        <w:t>endoproteesimise</w:t>
      </w:r>
      <w:proofErr w:type="spellEnd"/>
      <w:r>
        <w:rPr>
          <w:rFonts w:ascii="Times New Roman" w:hAnsi="Times New Roman" w:cs="Times New Roman"/>
          <w:sz w:val="24"/>
          <w:szCs w:val="24"/>
        </w:rPr>
        <w:t xml:space="preserve"> teekonna osas </w:t>
      </w:r>
      <w:r w:rsidRPr="00991D65">
        <w:rPr>
          <w:rFonts w:ascii="Times New Roman" w:hAnsi="Times New Roman" w:cs="Times New Roman"/>
          <w:sz w:val="24"/>
          <w:szCs w:val="24"/>
        </w:rPr>
        <w:t xml:space="preserve">järgnevas: </w:t>
      </w:r>
    </w:p>
    <w:p w14:paraId="2ECF7806" w14:textId="4BC82A63" w:rsidR="00991D65" w:rsidRPr="00991D65" w:rsidRDefault="00991D65" w:rsidP="00991D65">
      <w:pPr>
        <w:pStyle w:val="ListParagraph"/>
        <w:numPr>
          <w:ilvl w:val="0"/>
          <w:numId w:val="48"/>
        </w:numPr>
        <w:jc w:val="both"/>
      </w:pPr>
      <w:r w:rsidRPr="00991D65">
        <w:t xml:space="preserve">Millised tervishoiu- ja sotsiaaltöötajad kaasatakse </w:t>
      </w:r>
      <w:proofErr w:type="spellStart"/>
      <w:r w:rsidRPr="00991D65">
        <w:t>endoproteesimise</w:t>
      </w:r>
      <w:proofErr w:type="spellEnd"/>
      <w:r w:rsidRPr="00991D65">
        <w:t xml:space="preserve"> meeskonda ning mis on igaühe roll</w:t>
      </w:r>
      <w:r>
        <w:t xml:space="preserve">. </w:t>
      </w:r>
    </w:p>
    <w:p w14:paraId="56FEECD6" w14:textId="65A72D33" w:rsidR="00991D65" w:rsidRPr="00991D65" w:rsidRDefault="00991D65" w:rsidP="00991D65">
      <w:pPr>
        <w:pStyle w:val="ListParagraph"/>
        <w:numPr>
          <w:ilvl w:val="0"/>
          <w:numId w:val="48"/>
        </w:numPr>
        <w:jc w:val="both"/>
      </w:pPr>
      <w:r w:rsidRPr="00991D65">
        <w:t>Kuidas toimub informatsioonivahetus</w:t>
      </w:r>
      <w:r>
        <w:t xml:space="preserve"> – valida välja sobivad kanalid ja informatsiooni liikumise teekonnad ravimeeskonna liikmete vahel, sh patsiendile. </w:t>
      </w:r>
    </w:p>
    <w:p w14:paraId="1E23E0BD" w14:textId="766A33BC" w:rsidR="00991D65" w:rsidRPr="00991D65" w:rsidRDefault="00991D65" w:rsidP="00991D65">
      <w:pPr>
        <w:pStyle w:val="ListParagraph"/>
        <w:numPr>
          <w:ilvl w:val="0"/>
          <w:numId w:val="48"/>
        </w:numPr>
        <w:jc w:val="both"/>
      </w:pPr>
      <w:r w:rsidRPr="00991D65">
        <w:t xml:space="preserve">Kes ja milliseid analüüse-uuringuid teostab patsiendile enne </w:t>
      </w:r>
      <w:proofErr w:type="spellStart"/>
      <w:r w:rsidRPr="00991D65">
        <w:t>endoproteesimist</w:t>
      </w:r>
      <w:proofErr w:type="spellEnd"/>
      <w:r>
        <w:t xml:space="preserve">, kelle vastutada on kaasuvate haiguste kureerimine. </w:t>
      </w:r>
    </w:p>
    <w:p w14:paraId="7FBFA286" w14:textId="7E18407F" w:rsidR="00DA4EFF" w:rsidRDefault="00991D65" w:rsidP="00A834BC">
      <w:pPr>
        <w:pStyle w:val="ListParagraph"/>
        <w:numPr>
          <w:ilvl w:val="0"/>
          <w:numId w:val="48"/>
        </w:numPr>
        <w:jc w:val="both"/>
      </w:pPr>
      <w:r w:rsidRPr="00991D65">
        <w:lastRenderedPageBreak/>
        <w:t>Kes nõustab patsienti ja mis on nõustamisel käsitletavad teemad</w:t>
      </w:r>
      <w:r>
        <w:t xml:space="preserve">, millal nõustamine toimub, sh kui sageli. </w:t>
      </w:r>
    </w:p>
    <w:p w14:paraId="036F3AEE" w14:textId="4DA4ADB2" w:rsidR="00991D65" w:rsidRDefault="00991D65" w:rsidP="00991D65">
      <w:pPr>
        <w:jc w:val="both"/>
        <w:rPr>
          <w:rFonts w:ascii="Times New Roman" w:hAnsi="Times New Roman" w:cs="Times New Roman"/>
          <w:sz w:val="24"/>
          <w:szCs w:val="24"/>
        </w:rPr>
      </w:pPr>
      <w:r w:rsidRPr="00895B69">
        <w:rPr>
          <w:rFonts w:ascii="Times New Roman" w:hAnsi="Times New Roman" w:cs="Times New Roman"/>
          <w:sz w:val="24"/>
          <w:szCs w:val="24"/>
        </w:rPr>
        <w:t xml:space="preserve">Patsiendi seisundit kajastava </w:t>
      </w:r>
      <w:proofErr w:type="spellStart"/>
      <w:r w:rsidRPr="00895B69">
        <w:rPr>
          <w:rFonts w:ascii="Times New Roman" w:hAnsi="Times New Roman" w:cs="Times New Roman"/>
          <w:sz w:val="24"/>
          <w:szCs w:val="24"/>
        </w:rPr>
        <w:t>skoorimise</w:t>
      </w:r>
      <w:proofErr w:type="spellEnd"/>
      <w:r w:rsidRPr="00895B69">
        <w:rPr>
          <w:rFonts w:ascii="Times New Roman" w:hAnsi="Times New Roman" w:cs="Times New Roman"/>
          <w:sz w:val="24"/>
          <w:szCs w:val="24"/>
        </w:rPr>
        <w:t xml:space="preserve"> kasutamine peab olema ühtlasem ja </w:t>
      </w:r>
      <w:r w:rsidR="00895B69" w:rsidRPr="00895B69">
        <w:rPr>
          <w:rFonts w:ascii="Times New Roman" w:hAnsi="Times New Roman" w:cs="Times New Roman"/>
          <w:sz w:val="24"/>
          <w:szCs w:val="24"/>
        </w:rPr>
        <w:t xml:space="preserve">teostatud korduvalt kinda perioodi tagant, et hinnata haiguse kulgu dünaamikas. Kaaluda </w:t>
      </w:r>
      <w:proofErr w:type="spellStart"/>
      <w:r w:rsidR="00895B69" w:rsidRPr="00895B69">
        <w:rPr>
          <w:rFonts w:ascii="Times New Roman" w:hAnsi="Times New Roman" w:cs="Times New Roman"/>
          <w:sz w:val="24"/>
          <w:szCs w:val="24"/>
        </w:rPr>
        <w:t>skoorimisel</w:t>
      </w:r>
      <w:proofErr w:type="spellEnd"/>
      <w:r w:rsidR="00895B69" w:rsidRPr="00895B69">
        <w:rPr>
          <w:rFonts w:ascii="Times New Roman" w:hAnsi="Times New Roman" w:cs="Times New Roman"/>
          <w:sz w:val="24"/>
          <w:szCs w:val="24"/>
        </w:rPr>
        <w:t xml:space="preserve"> kasutava sisendi mitmekesistamist – kasutada patsiendi enesehindamist, seni kasutatud ravivõimaluste rakendamist ja edukust ning saadava võimaliku kombineerimist. </w:t>
      </w:r>
    </w:p>
    <w:p w14:paraId="41A85A8F" w14:textId="6E75ECB4" w:rsidR="00895B69" w:rsidRPr="00895B69" w:rsidRDefault="00895B69" w:rsidP="00991D65">
      <w:pPr>
        <w:jc w:val="both"/>
        <w:rPr>
          <w:rFonts w:ascii="Times New Roman" w:hAnsi="Times New Roman" w:cs="Times New Roman"/>
          <w:sz w:val="24"/>
          <w:szCs w:val="24"/>
        </w:rPr>
      </w:pPr>
      <w:r>
        <w:rPr>
          <w:rFonts w:ascii="Times New Roman" w:hAnsi="Times New Roman" w:cs="Times New Roman"/>
          <w:sz w:val="24"/>
          <w:szCs w:val="24"/>
        </w:rPr>
        <w:t xml:space="preserve">Vajalik on leppida kokku, mille alusel otsustatakse patsiendi taastusravi vajadus ja taastusravile suunamine, sh kaasata vajaduse hindamisse ja eesmärkide seadmisesse patsient ja tegevusterapeut. </w:t>
      </w:r>
    </w:p>
    <w:bookmarkEnd w:id="23"/>
    <w:p w14:paraId="0ECEBCBF" w14:textId="77777777" w:rsidR="0029411F" w:rsidRPr="007860C1" w:rsidRDefault="0029411F" w:rsidP="00A834BC">
      <w:pPr>
        <w:spacing w:line="240" w:lineRule="auto"/>
        <w:jc w:val="both"/>
        <w:rPr>
          <w:rFonts w:ascii="Times New Roman" w:hAnsi="Times New Roman" w:cs="Times New Roman"/>
          <w:color w:val="70AD47" w:themeColor="accent6"/>
          <w:sz w:val="24"/>
          <w:szCs w:val="24"/>
        </w:rPr>
      </w:pPr>
    </w:p>
    <w:bookmarkEnd w:id="14"/>
    <w:p w14:paraId="7F51F8E4" w14:textId="77777777" w:rsidR="00410D29" w:rsidRPr="007860C1" w:rsidRDefault="00410D29" w:rsidP="00310951">
      <w:pPr>
        <w:spacing w:line="240" w:lineRule="auto"/>
        <w:jc w:val="both"/>
        <w:rPr>
          <w:rFonts w:ascii="Times New Roman" w:hAnsi="Times New Roman" w:cs="Times New Roman"/>
          <w:sz w:val="24"/>
          <w:szCs w:val="24"/>
        </w:rPr>
      </w:pPr>
    </w:p>
    <w:p w14:paraId="43DA07FC" w14:textId="77777777" w:rsidR="00CF52DF" w:rsidRPr="007860C1" w:rsidRDefault="00CF52DF" w:rsidP="00310951">
      <w:pPr>
        <w:spacing w:line="240" w:lineRule="auto"/>
        <w:jc w:val="both"/>
        <w:rPr>
          <w:rFonts w:ascii="Times New Roman" w:hAnsi="Times New Roman" w:cs="Times New Roman"/>
          <w:sz w:val="24"/>
          <w:szCs w:val="24"/>
        </w:rPr>
      </w:pPr>
      <w:r w:rsidRPr="007860C1">
        <w:rPr>
          <w:rFonts w:ascii="Times New Roman" w:hAnsi="Times New Roman" w:cs="Times New Roman"/>
          <w:b/>
          <w:bCs/>
          <w:sz w:val="24"/>
          <w:szCs w:val="24"/>
        </w:rPr>
        <w:t xml:space="preserve">Koostaja: </w:t>
      </w:r>
      <w:r w:rsidRPr="007860C1">
        <w:rPr>
          <w:rFonts w:ascii="Times New Roman" w:hAnsi="Times New Roman" w:cs="Times New Roman"/>
          <w:sz w:val="24"/>
          <w:szCs w:val="24"/>
        </w:rPr>
        <w:t>Marge Vaikjärv, usaldusarst</w:t>
      </w:r>
    </w:p>
    <w:p w14:paraId="4A6AF066" w14:textId="6C29A6BB" w:rsidR="00825683" w:rsidRPr="007860C1" w:rsidRDefault="00CF52DF" w:rsidP="00825683">
      <w:pPr>
        <w:jc w:val="both"/>
        <w:rPr>
          <w:rFonts w:ascii="Times New Roman" w:hAnsi="Times New Roman" w:cs="Times New Roman"/>
          <w:bCs/>
          <w:sz w:val="24"/>
          <w:szCs w:val="24"/>
        </w:rPr>
      </w:pPr>
      <w:r w:rsidRPr="007860C1">
        <w:rPr>
          <w:rFonts w:ascii="Times New Roman" w:hAnsi="Times New Roman" w:cs="Times New Roman"/>
          <w:b/>
          <w:bCs/>
          <w:sz w:val="24"/>
          <w:szCs w:val="24"/>
        </w:rPr>
        <w:t xml:space="preserve">Kinnitas: </w:t>
      </w:r>
      <w:r w:rsidR="00825683" w:rsidRPr="007860C1">
        <w:rPr>
          <w:rFonts w:ascii="Times New Roman" w:hAnsi="Times New Roman" w:cs="Times New Roman"/>
          <w:sz w:val="24"/>
          <w:szCs w:val="24"/>
        </w:rPr>
        <w:t>Marion Kalju</w:t>
      </w:r>
    </w:p>
    <w:p w14:paraId="0395524C" w14:textId="77777777" w:rsidR="00825683" w:rsidRPr="007860C1" w:rsidRDefault="00825683" w:rsidP="00825683">
      <w:pPr>
        <w:jc w:val="both"/>
        <w:rPr>
          <w:rFonts w:ascii="Times New Roman" w:hAnsi="Times New Roman" w:cs="Times New Roman"/>
          <w:sz w:val="24"/>
          <w:szCs w:val="24"/>
        </w:rPr>
      </w:pPr>
      <w:r w:rsidRPr="007860C1">
        <w:rPr>
          <w:rFonts w:ascii="Times New Roman" w:hAnsi="Times New Roman" w:cs="Times New Roman"/>
          <w:sz w:val="24"/>
          <w:szCs w:val="24"/>
        </w:rPr>
        <w:t xml:space="preserve">Kvaliteedi </w:t>
      </w:r>
      <w:proofErr w:type="spellStart"/>
      <w:r w:rsidRPr="007860C1">
        <w:rPr>
          <w:rFonts w:ascii="Times New Roman" w:hAnsi="Times New Roman" w:cs="Times New Roman"/>
          <w:sz w:val="24"/>
          <w:szCs w:val="24"/>
        </w:rPr>
        <w:t>edenduse</w:t>
      </w:r>
      <w:proofErr w:type="spellEnd"/>
      <w:r w:rsidRPr="007860C1">
        <w:rPr>
          <w:rFonts w:ascii="Times New Roman" w:hAnsi="Times New Roman" w:cs="Times New Roman"/>
          <w:sz w:val="24"/>
          <w:szCs w:val="24"/>
        </w:rPr>
        <w:t xml:space="preserve"> osakonna juhatajat asendav peaspetsialist</w:t>
      </w:r>
    </w:p>
    <w:p w14:paraId="422D361B" w14:textId="7A2EE641" w:rsidR="00375ABE" w:rsidRPr="007860C1" w:rsidRDefault="00825683" w:rsidP="00825683">
      <w:pPr>
        <w:spacing w:line="240" w:lineRule="auto"/>
        <w:jc w:val="both"/>
        <w:rPr>
          <w:rFonts w:ascii="Times New Roman" w:eastAsia="Calibri" w:hAnsi="Times New Roman" w:cs="Times New Roman"/>
          <w:bCs/>
          <w:noProof/>
          <w:sz w:val="24"/>
          <w:szCs w:val="24"/>
          <w:lang w:eastAsia="et-EE"/>
        </w:rPr>
      </w:pPr>
      <w:r w:rsidRPr="007860C1">
        <w:rPr>
          <w:rFonts w:ascii="Times New Roman" w:eastAsia="Calibri" w:hAnsi="Times New Roman" w:cs="Times New Roman"/>
          <w:bCs/>
          <w:noProof/>
          <w:sz w:val="24"/>
          <w:szCs w:val="24"/>
          <w:lang w:eastAsia="et-EE"/>
        </w:rPr>
        <w:t>Juuni 2021</w:t>
      </w:r>
    </w:p>
    <w:sectPr w:rsidR="00375ABE" w:rsidRPr="007860C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9BAB" w14:textId="77777777" w:rsidR="00AB0415" w:rsidRDefault="00AB0415" w:rsidP="00E30860">
      <w:pPr>
        <w:spacing w:after="0" w:line="240" w:lineRule="auto"/>
      </w:pPr>
      <w:r>
        <w:separator/>
      </w:r>
    </w:p>
  </w:endnote>
  <w:endnote w:type="continuationSeparator" w:id="0">
    <w:p w14:paraId="2C544142" w14:textId="77777777" w:rsidR="00AB0415" w:rsidRDefault="00AB0415" w:rsidP="00E3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D962" w14:textId="77777777" w:rsidR="00BE38B6" w:rsidRDefault="00BE3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91223"/>
      <w:docPartObj>
        <w:docPartGallery w:val="Page Numbers (Bottom of Page)"/>
        <w:docPartUnique/>
      </w:docPartObj>
    </w:sdtPr>
    <w:sdtEndPr/>
    <w:sdtContent>
      <w:p w14:paraId="33E74C5F" w14:textId="2EB891B7" w:rsidR="00BE38B6" w:rsidRDefault="00BE38B6">
        <w:pPr>
          <w:pStyle w:val="Footer"/>
          <w:jc w:val="center"/>
        </w:pPr>
        <w:r>
          <w:fldChar w:fldCharType="begin"/>
        </w:r>
        <w:r>
          <w:instrText>PAGE   \* MERGEFORMAT</w:instrText>
        </w:r>
        <w:r>
          <w:fldChar w:fldCharType="separate"/>
        </w:r>
        <w:r>
          <w:t>2</w:t>
        </w:r>
        <w:r>
          <w:fldChar w:fldCharType="end"/>
        </w:r>
      </w:p>
    </w:sdtContent>
  </w:sdt>
  <w:p w14:paraId="78570193" w14:textId="77777777" w:rsidR="00BE38B6" w:rsidRDefault="00BE3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2E63" w14:textId="77777777" w:rsidR="00BE38B6" w:rsidRDefault="00BE3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E347" w14:textId="77777777" w:rsidR="00AB0415" w:rsidRDefault="00AB0415" w:rsidP="00E30860">
      <w:pPr>
        <w:spacing w:after="0" w:line="240" w:lineRule="auto"/>
      </w:pPr>
      <w:r>
        <w:separator/>
      </w:r>
    </w:p>
  </w:footnote>
  <w:footnote w:type="continuationSeparator" w:id="0">
    <w:p w14:paraId="143F210E" w14:textId="77777777" w:rsidR="00AB0415" w:rsidRDefault="00AB0415" w:rsidP="00E30860">
      <w:pPr>
        <w:spacing w:after="0" w:line="240" w:lineRule="auto"/>
      </w:pPr>
      <w:r>
        <w:continuationSeparator/>
      </w:r>
    </w:p>
  </w:footnote>
  <w:footnote w:id="1">
    <w:p w14:paraId="5EC68766" w14:textId="77777777" w:rsidR="00CF52DF" w:rsidRDefault="00CF52DF" w:rsidP="00CF52DF">
      <w:pPr>
        <w:pStyle w:val="FootnoteText"/>
        <w:rPr>
          <w:rFonts w:ascii="Calibri" w:hAnsi="Calibri"/>
        </w:rPr>
      </w:pPr>
      <w:r>
        <w:rPr>
          <w:rStyle w:val="FootnoteReference"/>
        </w:rPr>
        <w:footnoteRef/>
      </w:r>
      <w:r>
        <w:t xml:space="preserve"> </w:t>
      </w:r>
      <w:proofErr w:type="spellStart"/>
      <w:r>
        <w:t>Kiivet</w:t>
      </w:r>
      <w:proofErr w:type="spellEnd"/>
      <w:r>
        <w:t xml:space="preserve"> R-A, </w:t>
      </w:r>
      <w:proofErr w:type="spellStart"/>
      <w:r>
        <w:t>Pisarev</w:t>
      </w:r>
      <w:proofErr w:type="spellEnd"/>
      <w:r>
        <w:t xml:space="preserve"> H, Ringmets I, </w:t>
      </w:r>
      <w:proofErr w:type="spellStart"/>
      <w:r>
        <w:t>Lipping</w:t>
      </w:r>
      <w:proofErr w:type="spellEnd"/>
      <w:r>
        <w:t xml:space="preserve"> E, Reinsoo A, </w:t>
      </w:r>
      <w:proofErr w:type="spellStart"/>
      <w:r>
        <w:t>Kotsar</w:t>
      </w:r>
      <w:proofErr w:type="spellEnd"/>
      <w:r>
        <w:t xml:space="preserve"> A, Taal G, Kask K. Kirurgiline ravi Eestis: kuus operatsiooni arvudes. Tartu Ülikool. Tervishoiu toimetised 2019.</w:t>
      </w:r>
    </w:p>
  </w:footnote>
  <w:footnote w:id="2">
    <w:p w14:paraId="7DBC0C12" w14:textId="77777777" w:rsidR="00CF52DF" w:rsidRDefault="00CF52DF" w:rsidP="00CF52DF">
      <w:pPr>
        <w:pStyle w:val="FootnoteText"/>
        <w:rPr>
          <w:rFonts w:ascii="Calibri" w:hAnsi="Calibri"/>
        </w:rPr>
      </w:pPr>
      <w:r>
        <w:rPr>
          <w:rStyle w:val="FootnoteReference"/>
        </w:rPr>
        <w:footnoteRef/>
      </w:r>
      <w:r>
        <w:t xml:space="preserve"> </w:t>
      </w:r>
      <w:r>
        <w:t xml:space="preserve">Isikutepõhine valimi moodustamine (kirjeldatud valimi moodustamise kriteeriumite peatükis) toimus enne II päringut päringumahu vähendamiseks. </w:t>
      </w:r>
    </w:p>
  </w:footnote>
  <w:footnote w:id="3">
    <w:p w14:paraId="32280FA4" w14:textId="77777777" w:rsidR="00CF52DF" w:rsidRDefault="00CF52DF" w:rsidP="00CF52DF">
      <w:pPr>
        <w:pStyle w:val="FootnoteText"/>
        <w:rPr>
          <w:rFonts w:ascii="Calibri" w:hAnsi="Calibri"/>
        </w:rPr>
      </w:pPr>
      <w:r>
        <w:rPr>
          <w:rStyle w:val="FootnoteReference"/>
        </w:rPr>
        <w:footnoteRef/>
      </w:r>
      <w:r>
        <w:t xml:space="preserve"> </w:t>
      </w:r>
      <w:r>
        <w:t xml:space="preserve">Lähtume eeldusest, et ühe kalendriaasta sees kahe puusaliigese </w:t>
      </w:r>
      <w:proofErr w:type="spellStart"/>
      <w:r>
        <w:t>endoproteesimise</w:t>
      </w:r>
      <w:proofErr w:type="spellEnd"/>
      <w:r>
        <w:t xml:space="preserve"> läbimine ei iseloomusta puusaliigese </w:t>
      </w:r>
      <w:proofErr w:type="spellStart"/>
      <w:r>
        <w:t>endoproteesimise</w:t>
      </w:r>
      <w:proofErr w:type="spellEnd"/>
      <w:r>
        <w:t xml:space="preserve"> tüüpjuhtu.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29D0" w14:textId="6E8465E7" w:rsidR="00BE38B6" w:rsidRDefault="00BE3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E094" w14:textId="68465304" w:rsidR="00BE38B6" w:rsidRDefault="00BE3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03B1" w14:textId="50A53F90" w:rsidR="00BE38B6" w:rsidRDefault="00BE3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321"/>
    <w:multiLevelType w:val="multilevel"/>
    <w:tmpl w:val="D4E6F76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b/>
        <w:b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074F4"/>
    <w:multiLevelType w:val="hybridMultilevel"/>
    <w:tmpl w:val="5F56DF0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9647FB5"/>
    <w:multiLevelType w:val="multilevel"/>
    <w:tmpl w:val="2D0A66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9F3DA4"/>
    <w:multiLevelType w:val="hybridMultilevel"/>
    <w:tmpl w:val="2392243A"/>
    <w:lvl w:ilvl="0" w:tplc="B14404D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9C44F5D"/>
    <w:multiLevelType w:val="hybridMultilevel"/>
    <w:tmpl w:val="EEC6B6AC"/>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B200E77"/>
    <w:multiLevelType w:val="multilevel"/>
    <w:tmpl w:val="BA6E9584"/>
    <w:lvl w:ilvl="0">
      <w:start w:val="4"/>
      <w:numFmt w:val="decimal"/>
      <w:lvlText w:val="%1."/>
      <w:lvlJc w:val="left"/>
      <w:pPr>
        <w:ind w:left="360" w:hanging="360"/>
      </w:pPr>
      <w:rPr>
        <w:rFonts w:hint="default"/>
        <w:b/>
        <w:bCs w:val="0"/>
      </w:rPr>
    </w:lvl>
    <w:lvl w:ilvl="1">
      <w:start w:val="1"/>
      <w:numFmt w:val="decimal"/>
      <w:isLgl/>
      <w:lvlText w:val="%1.%2."/>
      <w:lvlJc w:val="left"/>
      <w:pPr>
        <w:ind w:left="747" w:hanging="54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ED52F06"/>
    <w:multiLevelType w:val="multilevel"/>
    <w:tmpl w:val="370AD4D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1146"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F040F8"/>
    <w:multiLevelType w:val="hybridMultilevel"/>
    <w:tmpl w:val="3BFA5C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A4B6C25"/>
    <w:multiLevelType w:val="hybridMultilevel"/>
    <w:tmpl w:val="4A4CBE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A6D6E71"/>
    <w:multiLevelType w:val="multilevel"/>
    <w:tmpl w:val="79E4C6B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B94EF4"/>
    <w:multiLevelType w:val="multilevel"/>
    <w:tmpl w:val="5D1426F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B0E20BD"/>
    <w:multiLevelType w:val="hybridMultilevel"/>
    <w:tmpl w:val="5A4CAA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EFE2183"/>
    <w:multiLevelType w:val="hybridMultilevel"/>
    <w:tmpl w:val="DAA44EA2"/>
    <w:lvl w:ilvl="0" w:tplc="24DA30F6">
      <w:start w:val="1"/>
      <w:numFmt w:val="bullet"/>
      <w:lvlText w:val="o"/>
      <w:lvlJc w:val="left"/>
      <w:pPr>
        <w:ind w:left="360" w:hanging="360"/>
      </w:pPr>
      <w:rPr>
        <w:rFonts w:ascii="Courier New" w:hAnsi="Courier New" w:cs="Courier New"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15:restartNumberingAfterBreak="0">
    <w:nsid w:val="21DC20DC"/>
    <w:multiLevelType w:val="hybridMultilevel"/>
    <w:tmpl w:val="85BE3A52"/>
    <w:lvl w:ilvl="0" w:tplc="721C090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5915E76"/>
    <w:multiLevelType w:val="multilevel"/>
    <w:tmpl w:val="84D694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1C66FC"/>
    <w:multiLevelType w:val="hybridMultilevel"/>
    <w:tmpl w:val="EDBE2FD6"/>
    <w:lvl w:ilvl="0" w:tplc="393E8078">
      <w:start w:val="4"/>
      <w:numFmt w:val="bullet"/>
      <w:lvlText w:val="-"/>
      <w:lvlJc w:val="left"/>
      <w:pPr>
        <w:ind w:left="720" w:hanging="360"/>
      </w:pPr>
      <w:rPr>
        <w:rFonts w:ascii="Times New Roman" w:eastAsia="Calibr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6" w15:restartNumberingAfterBreak="0">
    <w:nsid w:val="2B906157"/>
    <w:multiLevelType w:val="hybridMultilevel"/>
    <w:tmpl w:val="4282DE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BB45B3D"/>
    <w:multiLevelType w:val="hybridMultilevel"/>
    <w:tmpl w:val="04AC89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2C4E64B9"/>
    <w:multiLevelType w:val="multilevel"/>
    <w:tmpl w:val="D42659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2E40796A"/>
    <w:multiLevelType w:val="hybridMultilevel"/>
    <w:tmpl w:val="6B8C70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447561B"/>
    <w:multiLevelType w:val="multilevel"/>
    <w:tmpl w:val="3146D26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6F7707"/>
    <w:multiLevelType w:val="hybridMultilevel"/>
    <w:tmpl w:val="315AD0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3BC241BD"/>
    <w:multiLevelType w:val="hybridMultilevel"/>
    <w:tmpl w:val="4FFAA9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3C890422"/>
    <w:multiLevelType w:val="multilevel"/>
    <w:tmpl w:val="5F440D40"/>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E4636D2"/>
    <w:multiLevelType w:val="hybridMultilevel"/>
    <w:tmpl w:val="4CFCDE2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3FE57C84"/>
    <w:multiLevelType w:val="hybridMultilevel"/>
    <w:tmpl w:val="5BAAF454"/>
    <w:lvl w:ilvl="0" w:tplc="D7EAA44A">
      <w:start w:val="11"/>
      <w:numFmt w:val="bullet"/>
      <w:lvlText w:val=""/>
      <w:lvlJc w:val="left"/>
      <w:pPr>
        <w:ind w:left="417" w:hanging="360"/>
      </w:pPr>
      <w:rPr>
        <w:rFonts w:ascii="Symbol" w:eastAsia="Calibri" w:hAnsi="Symbol" w:cs="Times New Roman" w:hint="default"/>
      </w:rPr>
    </w:lvl>
    <w:lvl w:ilvl="1" w:tplc="04250003" w:tentative="1">
      <w:start w:val="1"/>
      <w:numFmt w:val="bullet"/>
      <w:lvlText w:val="o"/>
      <w:lvlJc w:val="left"/>
      <w:pPr>
        <w:ind w:left="1137" w:hanging="360"/>
      </w:pPr>
      <w:rPr>
        <w:rFonts w:ascii="Courier New" w:hAnsi="Courier New" w:cs="Courier New" w:hint="default"/>
      </w:rPr>
    </w:lvl>
    <w:lvl w:ilvl="2" w:tplc="04250005" w:tentative="1">
      <w:start w:val="1"/>
      <w:numFmt w:val="bullet"/>
      <w:lvlText w:val=""/>
      <w:lvlJc w:val="left"/>
      <w:pPr>
        <w:ind w:left="1857" w:hanging="360"/>
      </w:pPr>
      <w:rPr>
        <w:rFonts w:ascii="Wingdings" w:hAnsi="Wingdings" w:hint="default"/>
      </w:rPr>
    </w:lvl>
    <w:lvl w:ilvl="3" w:tplc="04250001" w:tentative="1">
      <w:start w:val="1"/>
      <w:numFmt w:val="bullet"/>
      <w:lvlText w:val=""/>
      <w:lvlJc w:val="left"/>
      <w:pPr>
        <w:ind w:left="2577" w:hanging="360"/>
      </w:pPr>
      <w:rPr>
        <w:rFonts w:ascii="Symbol" w:hAnsi="Symbol" w:hint="default"/>
      </w:rPr>
    </w:lvl>
    <w:lvl w:ilvl="4" w:tplc="04250003" w:tentative="1">
      <w:start w:val="1"/>
      <w:numFmt w:val="bullet"/>
      <w:lvlText w:val="o"/>
      <w:lvlJc w:val="left"/>
      <w:pPr>
        <w:ind w:left="3297" w:hanging="360"/>
      </w:pPr>
      <w:rPr>
        <w:rFonts w:ascii="Courier New" w:hAnsi="Courier New" w:cs="Courier New" w:hint="default"/>
      </w:rPr>
    </w:lvl>
    <w:lvl w:ilvl="5" w:tplc="04250005" w:tentative="1">
      <w:start w:val="1"/>
      <w:numFmt w:val="bullet"/>
      <w:lvlText w:val=""/>
      <w:lvlJc w:val="left"/>
      <w:pPr>
        <w:ind w:left="4017" w:hanging="360"/>
      </w:pPr>
      <w:rPr>
        <w:rFonts w:ascii="Wingdings" w:hAnsi="Wingdings" w:hint="default"/>
      </w:rPr>
    </w:lvl>
    <w:lvl w:ilvl="6" w:tplc="04250001" w:tentative="1">
      <w:start w:val="1"/>
      <w:numFmt w:val="bullet"/>
      <w:lvlText w:val=""/>
      <w:lvlJc w:val="left"/>
      <w:pPr>
        <w:ind w:left="4737" w:hanging="360"/>
      </w:pPr>
      <w:rPr>
        <w:rFonts w:ascii="Symbol" w:hAnsi="Symbol" w:hint="default"/>
      </w:rPr>
    </w:lvl>
    <w:lvl w:ilvl="7" w:tplc="04250003" w:tentative="1">
      <w:start w:val="1"/>
      <w:numFmt w:val="bullet"/>
      <w:lvlText w:val="o"/>
      <w:lvlJc w:val="left"/>
      <w:pPr>
        <w:ind w:left="5457" w:hanging="360"/>
      </w:pPr>
      <w:rPr>
        <w:rFonts w:ascii="Courier New" w:hAnsi="Courier New" w:cs="Courier New" w:hint="default"/>
      </w:rPr>
    </w:lvl>
    <w:lvl w:ilvl="8" w:tplc="04250005" w:tentative="1">
      <w:start w:val="1"/>
      <w:numFmt w:val="bullet"/>
      <w:lvlText w:val=""/>
      <w:lvlJc w:val="left"/>
      <w:pPr>
        <w:ind w:left="6177" w:hanging="360"/>
      </w:pPr>
      <w:rPr>
        <w:rFonts w:ascii="Wingdings" w:hAnsi="Wingdings" w:hint="default"/>
      </w:rPr>
    </w:lvl>
  </w:abstractNum>
  <w:abstractNum w:abstractNumId="26" w15:restartNumberingAfterBreak="0">
    <w:nsid w:val="400E29FF"/>
    <w:multiLevelType w:val="hybridMultilevel"/>
    <w:tmpl w:val="914CA1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01111A7"/>
    <w:multiLevelType w:val="hybridMultilevel"/>
    <w:tmpl w:val="D560559A"/>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8" w15:restartNumberingAfterBreak="0">
    <w:nsid w:val="41075F87"/>
    <w:multiLevelType w:val="multilevel"/>
    <w:tmpl w:val="2780E4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AB3684"/>
    <w:multiLevelType w:val="multilevel"/>
    <w:tmpl w:val="DAB04CA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194204"/>
    <w:multiLevelType w:val="hybridMultilevel"/>
    <w:tmpl w:val="C980E92A"/>
    <w:lvl w:ilvl="0" w:tplc="82D0E252">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31" w15:restartNumberingAfterBreak="0">
    <w:nsid w:val="4B123980"/>
    <w:multiLevelType w:val="hybridMultilevel"/>
    <w:tmpl w:val="49DE1B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4D9E5E85"/>
    <w:multiLevelType w:val="hybridMultilevel"/>
    <w:tmpl w:val="CC0A51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4EC82448"/>
    <w:multiLevelType w:val="multilevel"/>
    <w:tmpl w:val="4070566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4F2C0346"/>
    <w:multiLevelType w:val="hybridMultilevel"/>
    <w:tmpl w:val="7DE097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5618213A"/>
    <w:multiLevelType w:val="multilevel"/>
    <w:tmpl w:val="DE2863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6292721"/>
    <w:multiLevelType w:val="hybridMultilevel"/>
    <w:tmpl w:val="C5D639E4"/>
    <w:lvl w:ilvl="0" w:tplc="393E8078">
      <w:start w:val="4"/>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56971577"/>
    <w:multiLevelType w:val="hybridMultilevel"/>
    <w:tmpl w:val="409C09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5D5D7A6A"/>
    <w:multiLevelType w:val="multilevel"/>
    <w:tmpl w:val="34E483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1F36F70"/>
    <w:multiLevelType w:val="hybridMultilevel"/>
    <w:tmpl w:val="44A03930"/>
    <w:lvl w:ilvl="0" w:tplc="81587F4E">
      <w:start w:val="1"/>
      <w:numFmt w:val="decimal"/>
      <w:lvlText w:val="%1)"/>
      <w:lvlJc w:val="left"/>
      <w:pPr>
        <w:ind w:left="720" w:hanging="360"/>
      </w:pPr>
      <w:rPr>
        <w:b/>
        <w:color w:val="000000" w:themeColor="text1"/>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0" w15:restartNumberingAfterBreak="0">
    <w:nsid w:val="655111C4"/>
    <w:multiLevelType w:val="hybridMultilevel"/>
    <w:tmpl w:val="6700C9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6B9630A1"/>
    <w:multiLevelType w:val="multilevel"/>
    <w:tmpl w:val="AD1A6AF0"/>
    <w:lvl w:ilvl="0">
      <w:start w:val="1"/>
      <w:numFmt w:val="bullet"/>
      <w:lvlText w:val=""/>
      <w:lvlJc w:val="left"/>
      <w:pPr>
        <w:ind w:left="1069" w:hanging="360"/>
      </w:pPr>
      <w:rPr>
        <w:rFonts w:ascii="Symbol" w:hAnsi="Symbol" w:hint="default"/>
      </w:rPr>
    </w:lvl>
    <w:lvl w:ilvl="1">
      <w:start w:val="1"/>
      <w:numFmt w:val="decimal"/>
      <w:lvlText w:val="%1.%2."/>
      <w:lvlJc w:val="left"/>
      <w:pPr>
        <w:ind w:left="1069" w:hanging="360"/>
      </w:pPr>
      <w:rPr>
        <w:rFonts w:hint="default"/>
        <w:b/>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42" w15:restartNumberingAfterBreak="0">
    <w:nsid w:val="6D54749C"/>
    <w:multiLevelType w:val="multilevel"/>
    <w:tmpl w:val="2BBC2C0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b/>
        <w:bCs w:val="0"/>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933B95"/>
    <w:multiLevelType w:val="multilevel"/>
    <w:tmpl w:val="E07A421C"/>
    <w:lvl w:ilvl="0">
      <w:start w:val="4"/>
      <w:numFmt w:val="decimal"/>
      <w:lvlText w:val="%1"/>
      <w:lvlJc w:val="left"/>
      <w:pPr>
        <w:ind w:left="480" w:hanging="480"/>
      </w:pPr>
      <w:rPr>
        <w:rFonts w:hint="default"/>
        <w:b/>
      </w:rPr>
    </w:lvl>
    <w:lvl w:ilvl="1">
      <w:start w:val="3"/>
      <w:numFmt w:val="decimal"/>
      <w:lvlText w:val="%1.%2"/>
      <w:lvlJc w:val="left"/>
      <w:pPr>
        <w:ind w:left="693"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44" w15:restartNumberingAfterBreak="0">
    <w:nsid w:val="73BD6822"/>
    <w:multiLevelType w:val="hybridMultilevel"/>
    <w:tmpl w:val="22C06B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4570582"/>
    <w:multiLevelType w:val="multilevel"/>
    <w:tmpl w:val="79066E3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6D5A6B"/>
    <w:multiLevelType w:val="hybridMultilevel"/>
    <w:tmpl w:val="EAFA30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15:restartNumberingAfterBreak="0">
    <w:nsid w:val="7980759E"/>
    <w:multiLevelType w:val="hybridMultilevel"/>
    <w:tmpl w:val="ED8A511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8" w15:restartNumberingAfterBreak="0">
    <w:nsid w:val="7D724395"/>
    <w:multiLevelType w:val="multilevel"/>
    <w:tmpl w:val="C0447496"/>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4"/>
  </w:num>
  <w:num w:numId="2">
    <w:abstractNumId w:val="2"/>
  </w:num>
  <w:num w:numId="3">
    <w:abstractNumId w:val="33"/>
  </w:num>
  <w:num w:numId="4">
    <w:abstractNumId w:val="12"/>
  </w:num>
  <w:num w:numId="5">
    <w:abstractNumId w:val="29"/>
  </w:num>
  <w:num w:numId="6">
    <w:abstractNumId w:val="5"/>
  </w:num>
  <w:num w:numId="7">
    <w:abstractNumId w:val="45"/>
  </w:num>
  <w:num w:numId="8">
    <w:abstractNumId w:val="16"/>
  </w:num>
  <w:num w:numId="9">
    <w:abstractNumId w:val="6"/>
  </w:num>
  <w:num w:numId="10">
    <w:abstractNumId w:val="18"/>
  </w:num>
  <w:num w:numId="11">
    <w:abstractNumId w:val="41"/>
  </w:num>
  <w:num w:numId="12">
    <w:abstractNumId w:val="30"/>
  </w:num>
  <w:num w:numId="13">
    <w:abstractNumId w:val="15"/>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
  </w:num>
  <w:num w:numId="18">
    <w:abstractNumId w:val="13"/>
  </w:num>
  <w:num w:numId="19">
    <w:abstractNumId w:val="46"/>
  </w:num>
  <w:num w:numId="20">
    <w:abstractNumId w:val="47"/>
  </w:num>
  <w:num w:numId="21">
    <w:abstractNumId w:val="32"/>
  </w:num>
  <w:num w:numId="22">
    <w:abstractNumId w:val="31"/>
  </w:num>
  <w:num w:numId="23">
    <w:abstractNumId w:val="7"/>
  </w:num>
  <w:num w:numId="24">
    <w:abstractNumId w:val="17"/>
  </w:num>
  <w:num w:numId="25">
    <w:abstractNumId w:val="26"/>
  </w:num>
  <w:num w:numId="26">
    <w:abstractNumId w:val="27"/>
  </w:num>
  <w:num w:numId="27">
    <w:abstractNumId w:val="34"/>
  </w:num>
  <w:num w:numId="28">
    <w:abstractNumId w:val="40"/>
  </w:num>
  <w:num w:numId="29">
    <w:abstractNumId w:val="38"/>
  </w:num>
  <w:num w:numId="30">
    <w:abstractNumId w:val="23"/>
  </w:num>
  <w:num w:numId="31">
    <w:abstractNumId w:val="48"/>
  </w:num>
  <w:num w:numId="32">
    <w:abstractNumId w:val="28"/>
  </w:num>
  <w:num w:numId="33">
    <w:abstractNumId w:val="35"/>
  </w:num>
  <w:num w:numId="34">
    <w:abstractNumId w:val="1"/>
  </w:num>
  <w:num w:numId="35">
    <w:abstractNumId w:val="9"/>
  </w:num>
  <w:num w:numId="36">
    <w:abstractNumId w:val="0"/>
  </w:num>
  <w:num w:numId="37">
    <w:abstractNumId w:val="43"/>
  </w:num>
  <w:num w:numId="38">
    <w:abstractNumId w:val="20"/>
  </w:num>
  <w:num w:numId="39">
    <w:abstractNumId w:val="36"/>
  </w:num>
  <w:num w:numId="40">
    <w:abstractNumId w:val="21"/>
  </w:num>
  <w:num w:numId="41">
    <w:abstractNumId w:val="19"/>
  </w:num>
  <w:num w:numId="42">
    <w:abstractNumId w:val="22"/>
  </w:num>
  <w:num w:numId="43">
    <w:abstractNumId w:val="37"/>
  </w:num>
  <w:num w:numId="44">
    <w:abstractNumId w:val="44"/>
  </w:num>
  <w:num w:numId="45">
    <w:abstractNumId w:val="11"/>
  </w:num>
  <w:num w:numId="46">
    <w:abstractNumId w:val="8"/>
  </w:num>
  <w:num w:numId="47">
    <w:abstractNumId w:val="24"/>
  </w:num>
  <w:num w:numId="48">
    <w:abstractNumId w:val="4"/>
  </w:num>
  <w:num w:numId="49">
    <w:abstractNumId w:val="10"/>
  </w:num>
  <w:num w:numId="50">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AF"/>
    <w:rsid w:val="00004723"/>
    <w:rsid w:val="0001031C"/>
    <w:rsid w:val="000108FE"/>
    <w:rsid w:val="00020607"/>
    <w:rsid w:val="00022718"/>
    <w:rsid w:val="00024B5E"/>
    <w:rsid w:val="00032F38"/>
    <w:rsid w:val="00046BE7"/>
    <w:rsid w:val="00055145"/>
    <w:rsid w:val="000573EC"/>
    <w:rsid w:val="0006118A"/>
    <w:rsid w:val="000803D9"/>
    <w:rsid w:val="0008301C"/>
    <w:rsid w:val="000935EC"/>
    <w:rsid w:val="00096B24"/>
    <w:rsid w:val="000A0A35"/>
    <w:rsid w:val="000C0AAA"/>
    <w:rsid w:val="000C11F3"/>
    <w:rsid w:val="000C52BA"/>
    <w:rsid w:val="000C7F67"/>
    <w:rsid w:val="000D7166"/>
    <w:rsid w:val="00102F4A"/>
    <w:rsid w:val="00105565"/>
    <w:rsid w:val="00115956"/>
    <w:rsid w:val="00123521"/>
    <w:rsid w:val="001256BC"/>
    <w:rsid w:val="00134BFF"/>
    <w:rsid w:val="00136685"/>
    <w:rsid w:val="00160493"/>
    <w:rsid w:val="00173106"/>
    <w:rsid w:val="001959AC"/>
    <w:rsid w:val="0019783B"/>
    <w:rsid w:val="001A0DDD"/>
    <w:rsid w:val="001A2E6C"/>
    <w:rsid w:val="001A3912"/>
    <w:rsid w:val="001A3C19"/>
    <w:rsid w:val="001A4101"/>
    <w:rsid w:val="001A51E7"/>
    <w:rsid w:val="001A5D66"/>
    <w:rsid w:val="001A702D"/>
    <w:rsid w:val="001B4D46"/>
    <w:rsid w:val="001B607B"/>
    <w:rsid w:val="001B6558"/>
    <w:rsid w:val="001B7EB4"/>
    <w:rsid w:val="001C2358"/>
    <w:rsid w:val="001C6330"/>
    <w:rsid w:val="001D4442"/>
    <w:rsid w:val="001E4FC0"/>
    <w:rsid w:val="00203E47"/>
    <w:rsid w:val="002057CB"/>
    <w:rsid w:val="002171DB"/>
    <w:rsid w:val="0023426C"/>
    <w:rsid w:val="0024538F"/>
    <w:rsid w:val="002505E9"/>
    <w:rsid w:val="00263ADA"/>
    <w:rsid w:val="002646C8"/>
    <w:rsid w:val="00280EE8"/>
    <w:rsid w:val="002829B7"/>
    <w:rsid w:val="002869B8"/>
    <w:rsid w:val="0028791E"/>
    <w:rsid w:val="0029411F"/>
    <w:rsid w:val="0029494E"/>
    <w:rsid w:val="0029495A"/>
    <w:rsid w:val="002B6512"/>
    <w:rsid w:val="002B78F3"/>
    <w:rsid w:val="002C5018"/>
    <w:rsid w:val="002C6C14"/>
    <w:rsid w:val="002D21C8"/>
    <w:rsid w:val="002D6DB1"/>
    <w:rsid w:val="002E318B"/>
    <w:rsid w:val="002E771C"/>
    <w:rsid w:val="002E7908"/>
    <w:rsid w:val="002E7A06"/>
    <w:rsid w:val="002F4D74"/>
    <w:rsid w:val="00303701"/>
    <w:rsid w:val="00310951"/>
    <w:rsid w:val="003162DF"/>
    <w:rsid w:val="00317D79"/>
    <w:rsid w:val="003327C0"/>
    <w:rsid w:val="00341999"/>
    <w:rsid w:val="003419E3"/>
    <w:rsid w:val="00342EE3"/>
    <w:rsid w:val="00347623"/>
    <w:rsid w:val="00351E3A"/>
    <w:rsid w:val="0037340A"/>
    <w:rsid w:val="003734E0"/>
    <w:rsid w:val="00375ABE"/>
    <w:rsid w:val="0038154B"/>
    <w:rsid w:val="003945EF"/>
    <w:rsid w:val="003A117F"/>
    <w:rsid w:val="003B3FFC"/>
    <w:rsid w:val="003D2455"/>
    <w:rsid w:val="003E4FD9"/>
    <w:rsid w:val="003F6BA5"/>
    <w:rsid w:val="00410D29"/>
    <w:rsid w:val="00411BB4"/>
    <w:rsid w:val="00416483"/>
    <w:rsid w:val="00430833"/>
    <w:rsid w:val="00434503"/>
    <w:rsid w:val="004402FA"/>
    <w:rsid w:val="00444C96"/>
    <w:rsid w:val="0044784F"/>
    <w:rsid w:val="004741A0"/>
    <w:rsid w:val="00496FE9"/>
    <w:rsid w:val="004979E1"/>
    <w:rsid w:val="004A4616"/>
    <w:rsid w:val="004A4E85"/>
    <w:rsid w:val="004A7EB3"/>
    <w:rsid w:val="004B09DA"/>
    <w:rsid w:val="004B6A4D"/>
    <w:rsid w:val="004B7A9B"/>
    <w:rsid w:val="004C7648"/>
    <w:rsid w:val="004F3993"/>
    <w:rsid w:val="004F684E"/>
    <w:rsid w:val="00507CF5"/>
    <w:rsid w:val="005169FF"/>
    <w:rsid w:val="00516ACC"/>
    <w:rsid w:val="00516B21"/>
    <w:rsid w:val="00532DDE"/>
    <w:rsid w:val="00551ADB"/>
    <w:rsid w:val="00557B73"/>
    <w:rsid w:val="00561B09"/>
    <w:rsid w:val="00562AE9"/>
    <w:rsid w:val="00562E47"/>
    <w:rsid w:val="0056496D"/>
    <w:rsid w:val="0057752E"/>
    <w:rsid w:val="00577B04"/>
    <w:rsid w:val="00582928"/>
    <w:rsid w:val="005838BB"/>
    <w:rsid w:val="005A06DB"/>
    <w:rsid w:val="005A0DC9"/>
    <w:rsid w:val="005B1EE3"/>
    <w:rsid w:val="005C637A"/>
    <w:rsid w:val="005D62D8"/>
    <w:rsid w:val="005E1748"/>
    <w:rsid w:val="005E3816"/>
    <w:rsid w:val="00601BF8"/>
    <w:rsid w:val="00606E68"/>
    <w:rsid w:val="00607F55"/>
    <w:rsid w:val="00614E23"/>
    <w:rsid w:val="006174B0"/>
    <w:rsid w:val="0064610D"/>
    <w:rsid w:val="00646C2D"/>
    <w:rsid w:val="006477EF"/>
    <w:rsid w:val="00651E66"/>
    <w:rsid w:val="00652AF2"/>
    <w:rsid w:val="00654EF6"/>
    <w:rsid w:val="00655BDB"/>
    <w:rsid w:val="00671F41"/>
    <w:rsid w:val="0067428C"/>
    <w:rsid w:val="00674F86"/>
    <w:rsid w:val="0067622D"/>
    <w:rsid w:val="006A5D89"/>
    <w:rsid w:val="006B6CF6"/>
    <w:rsid w:val="006B74B0"/>
    <w:rsid w:val="006C2E7D"/>
    <w:rsid w:val="006C5B56"/>
    <w:rsid w:val="006D1F69"/>
    <w:rsid w:val="006E2097"/>
    <w:rsid w:val="006E2EA7"/>
    <w:rsid w:val="006E2EE2"/>
    <w:rsid w:val="006E3013"/>
    <w:rsid w:val="006E3540"/>
    <w:rsid w:val="006E51AF"/>
    <w:rsid w:val="006E63DA"/>
    <w:rsid w:val="006F3360"/>
    <w:rsid w:val="006F4C15"/>
    <w:rsid w:val="006F61C6"/>
    <w:rsid w:val="006F7B06"/>
    <w:rsid w:val="007014FC"/>
    <w:rsid w:val="00706446"/>
    <w:rsid w:val="00712FD5"/>
    <w:rsid w:val="007152A8"/>
    <w:rsid w:val="007179D6"/>
    <w:rsid w:val="00724624"/>
    <w:rsid w:val="00726F03"/>
    <w:rsid w:val="00727F44"/>
    <w:rsid w:val="00732B4D"/>
    <w:rsid w:val="00733FE7"/>
    <w:rsid w:val="00737287"/>
    <w:rsid w:val="00740A3B"/>
    <w:rsid w:val="00746B2B"/>
    <w:rsid w:val="00760FBD"/>
    <w:rsid w:val="007646A3"/>
    <w:rsid w:val="0077218F"/>
    <w:rsid w:val="00781C88"/>
    <w:rsid w:val="00781CBE"/>
    <w:rsid w:val="007854E2"/>
    <w:rsid w:val="007860C1"/>
    <w:rsid w:val="00790FD2"/>
    <w:rsid w:val="00792233"/>
    <w:rsid w:val="007955D9"/>
    <w:rsid w:val="007B503B"/>
    <w:rsid w:val="007B7926"/>
    <w:rsid w:val="007D3AFD"/>
    <w:rsid w:val="007D6C26"/>
    <w:rsid w:val="007E24F3"/>
    <w:rsid w:val="007E413A"/>
    <w:rsid w:val="007F507E"/>
    <w:rsid w:val="0080478C"/>
    <w:rsid w:val="00814FE9"/>
    <w:rsid w:val="00820804"/>
    <w:rsid w:val="00825683"/>
    <w:rsid w:val="00830C0C"/>
    <w:rsid w:val="00831490"/>
    <w:rsid w:val="00841D81"/>
    <w:rsid w:val="00842A70"/>
    <w:rsid w:val="00850CC1"/>
    <w:rsid w:val="00854116"/>
    <w:rsid w:val="00861722"/>
    <w:rsid w:val="0086347F"/>
    <w:rsid w:val="00864EBE"/>
    <w:rsid w:val="008855D9"/>
    <w:rsid w:val="00895B69"/>
    <w:rsid w:val="008A17F5"/>
    <w:rsid w:val="008A53E9"/>
    <w:rsid w:val="008D3B86"/>
    <w:rsid w:val="008E1A2C"/>
    <w:rsid w:val="008F64F3"/>
    <w:rsid w:val="00900461"/>
    <w:rsid w:val="00914676"/>
    <w:rsid w:val="00920D36"/>
    <w:rsid w:val="0094076B"/>
    <w:rsid w:val="00940D0D"/>
    <w:rsid w:val="00943D32"/>
    <w:rsid w:val="00946F7B"/>
    <w:rsid w:val="009634ED"/>
    <w:rsid w:val="00971868"/>
    <w:rsid w:val="00973A78"/>
    <w:rsid w:val="009767A6"/>
    <w:rsid w:val="009814ED"/>
    <w:rsid w:val="009831EA"/>
    <w:rsid w:val="0098559D"/>
    <w:rsid w:val="00987F68"/>
    <w:rsid w:val="00990393"/>
    <w:rsid w:val="00991D65"/>
    <w:rsid w:val="009941C4"/>
    <w:rsid w:val="009A0FD7"/>
    <w:rsid w:val="009C3183"/>
    <w:rsid w:val="009D0C9C"/>
    <w:rsid w:val="009D2EE2"/>
    <w:rsid w:val="009E379A"/>
    <w:rsid w:val="009E679F"/>
    <w:rsid w:val="009F0558"/>
    <w:rsid w:val="009F0E8B"/>
    <w:rsid w:val="009F45F6"/>
    <w:rsid w:val="009F549A"/>
    <w:rsid w:val="00A0627E"/>
    <w:rsid w:val="00A06E09"/>
    <w:rsid w:val="00A10D05"/>
    <w:rsid w:val="00A14A44"/>
    <w:rsid w:val="00A209F7"/>
    <w:rsid w:val="00A24080"/>
    <w:rsid w:val="00A25E74"/>
    <w:rsid w:val="00A35D19"/>
    <w:rsid w:val="00A35E7C"/>
    <w:rsid w:val="00A55AD3"/>
    <w:rsid w:val="00A560A1"/>
    <w:rsid w:val="00A60CEC"/>
    <w:rsid w:val="00A637D1"/>
    <w:rsid w:val="00A647A2"/>
    <w:rsid w:val="00A6562C"/>
    <w:rsid w:val="00A664A0"/>
    <w:rsid w:val="00A71A1F"/>
    <w:rsid w:val="00A75F08"/>
    <w:rsid w:val="00A834BC"/>
    <w:rsid w:val="00A87263"/>
    <w:rsid w:val="00A9616E"/>
    <w:rsid w:val="00A9623F"/>
    <w:rsid w:val="00A963A6"/>
    <w:rsid w:val="00AA46F3"/>
    <w:rsid w:val="00AA6504"/>
    <w:rsid w:val="00AB0415"/>
    <w:rsid w:val="00AB3B94"/>
    <w:rsid w:val="00AC2C33"/>
    <w:rsid w:val="00AD1029"/>
    <w:rsid w:val="00AD7033"/>
    <w:rsid w:val="00AE3A99"/>
    <w:rsid w:val="00AE5C9D"/>
    <w:rsid w:val="00B02967"/>
    <w:rsid w:val="00B12B24"/>
    <w:rsid w:val="00B146D6"/>
    <w:rsid w:val="00B200BE"/>
    <w:rsid w:val="00B274B4"/>
    <w:rsid w:val="00B44CFE"/>
    <w:rsid w:val="00B4621E"/>
    <w:rsid w:val="00B52CA2"/>
    <w:rsid w:val="00B61745"/>
    <w:rsid w:val="00B65E00"/>
    <w:rsid w:val="00B80B40"/>
    <w:rsid w:val="00B90585"/>
    <w:rsid w:val="00B929ED"/>
    <w:rsid w:val="00B95BEB"/>
    <w:rsid w:val="00BA0A3C"/>
    <w:rsid w:val="00BB1542"/>
    <w:rsid w:val="00BB67BE"/>
    <w:rsid w:val="00BC3982"/>
    <w:rsid w:val="00BD512A"/>
    <w:rsid w:val="00BE0AEA"/>
    <w:rsid w:val="00BE38B6"/>
    <w:rsid w:val="00BE4B1F"/>
    <w:rsid w:val="00C10504"/>
    <w:rsid w:val="00C1196B"/>
    <w:rsid w:val="00C15AF9"/>
    <w:rsid w:val="00C57607"/>
    <w:rsid w:val="00C712E9"/>
    <w:rsid w:val="00C8363A"/>
    <w:rsid w:val="00CA52C6"/>
    <w:rsid w:val="00CC296A"/>
    <w:rsid w:val="00CD3B89"/>
    <w:rsid w:val="00CE020C"/>
    <w:rsid w:val="00CE3A93"/>
    <w:rsid w:val="00CE4C3A"/>
    <w:rsid w:val="00CE59D5"/>
    <w:rsid w:val="00CF2163"/>
    <w:rsid w:val="00CF5274"/>
    <w:rsid w:val="00CF52DF"/>
    <w:rsid w:val="00D009BE"/>
    <w:rsid w:val="00D01A5F"/>
    <w:rsid w:val="00D020E9"/>
    <w:rsid w:val="00D07F85"/>
    <w:rsid w:val="00D13C2D"/>
    <w:rsid w:val="00D4612C"/>
    <w:rsid w:val="00D84F82"/>
    <w:rsid w:val="00DA4EFF"/>
    <w:rsid w:val="00DB07D8"/>
    <w:rsid w:val="00DC18DB"/>
    <w:rsid w:val="00DC2C3D"/>
    <w:rsid w:val="00DC51D8"/>
    <w:rsid w:val="00DC601B"/>
    <w:rsid w:val="00DD4561"/>
    <w:rsid w:val="00E03561"/>
    <w:rsid w:val="00E07F58"/>
    <w:rsid w:val="00E122A1"/>
    <w:rsid w:val="00E209A4"/>
    <w:rsid w:val="00E20ADA"/>
    <w:rsid w:val="00E30860"/>
    <w:rsid w:val="00E43391"/>
    <w:rsid w:val="00E521E5"/>
    <w:rsid w:val="00E557FB"/>
    <w:rsid w:val="00E568D3"/>
    <w:rsid w:val="00E612F1"/>
    <w:rsid w:val="00E679CA"/>
    <w:rsid w:val="00E71703"/>
    <w:rsid w:val="00E74713"/>
    <w:rsid w:val="00E8635A"/>
    <w:rsid w:val="00E92DC3"/>
    <w:rsid w:val="00E937E5"/>
    <w:rsid w:val="00E9451C"/>
    <w:rsid w:val="00EA08B2"/>
    <w:rsid w:val="00EA28DA"/>
    <w:rsid w:val="00EA3FA1"/>
    <w:rsid w:val="00EA4390"/>
    <w:rsid w:val="00EA56A5"/>
    <w:rsid w:val="00EB3D28"/>
    <w:rsid w:val="00EB48AF"/>
    <w:rsid w:val="00EB5E8D"/>
    <w:rsid w:val="00EC209C"/>
    <w:rsid w:val="00EC3572"/>
    <w:rsid w:val="00EC50E4"/>
    <w:rsid w:val="00EC5364"/>
    <w:rsid w:val="00EC6D33"/>
    <w:rsid w:val="00EC7E26"/>
    <w:rsid w:val="00ED05D0"/>
    <w:rsid w:val="00ED1465"/>
    <w:rsid w:val="00EE2818"/>
    <w:rsid w:val="00F01D21"/>
    <w:rsid w:val="00F06DB2"/>
    <w:rsid w:val="00F14F9A"/>
    <w:rsid w:val="00F21BC8"/>
    <w:rsid w:val="00F226B1"/>
    <w:rsid w:val="00F33B54"/>
    <w:rsid w:val="00F37DFD"/>
    <w:rsid w:val="00F477F4"/>
    <w:rsid w:val="00F53120"/>
    <w:rsid w:val="00F61099"/>
    <w:rsid w:val="00F63191"/>
    <w:rsid w:val="00F70631"/>
    <w:rsid w:val="00F719CD"/>
    <w:rsid w:val="00F72469"/>
    <w:rsid w:val="00F75864"/>
    <w:rsid w:val="00F77194"/>
    <w:rsid w:val="00F84FF3"/>
    <w:rsid w:val="00FA029E"/>
    <w:rsid w:val="00FA1D6F"/>
    <w:rsid w:val="00FB1A89"/>
    <w:rsid w:val="00FB47F3"/>
    <w:rsid w:val="00FB5322"/>
    <w:rsid w:val="00FB66D7"/>
    <w:rsid w:val="00FC111D"/>
    <w:rsid w:val="00FC424F"/>
    <w:rsid w:val="00FD0026"/>
    <w:rsid w:val="00FD721A"/>
    <w:rsid w:val="00FE0550"/>
    <w:rsid w:val="00FE7A0E"/>
    <w:rsid w:val="00FF58CF"/>
    <w:rsid w:val="00FF5D1E"/>
    <w:rsid w:val="00FF5ED7"/>
    <w:rsid w:val="00FF63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90151"/>
  <w15:chartTrackingRefBased/>
  <w15:docId w15:val="{BD2DE999-0328-42BA-A187-1267D80B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101"/>
  </w:style>
  <w:style w:type="paragraph" w:styleId="Heading1">
    <w:name w:val="heading 1"/>
    <w:basedOn w:val="Normal"/>
    <w:next w:val="Normal"/>
    <w:link w:val="Heading1Char"/>
    <w:uiPriority w:val="9"/>
    <w:qFormat/>
    <w:rsid w:val="00A0627E"/>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A062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6D7"/>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FB66D7"/>
    <w:rPr>
      <w:sz w:val="16"/>
      <w:szCs w:val="16"/>
    </w:rPr>
  </w:style>
  <w:style w:type="paragraph" w:styleId="CommentText">
    <w:name w:val="annotation text"/>
    <w:basedOn w:val="Normal"/>
    <w:link w:val="CommentTextChar"/>
    <w:uiPriority w:val="99"/>
    <w:unhideWhenUsed/>
    <w:rsid w:val="00FB66D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FB66D7"/>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FB6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6D7"/>
    <w:rPr>
      <w:rFonts w:ascii="Segoe UI" w:hAnsi="Segoe UI" w:cs="Segoe UI"/>
      <w:sz w:val="18"/>
      <w:szCs w:val="18"/>
    </w:rPr>
  </w:style>
  <w:style w:type="paragraph" w:styleId="NoSpacing">
    <w:name w:val="No Spacing"/>
    <w:qFormat/>
    <w:rsid w:val="00532DDE"/>
    <w:pPr>
      <w:spacing w:after="0" w:line="240" w:lineRule="auto"/>
    </w:pPr>
  </w:style>
  <w:style w:type="table" w:styleId="TableGrid">
    <w:name w:val="Table Grid"/>
    <w:basedOn w:val="TableNormal"/>
    <w:uiPriority w:val="39"/>
    <w:rsid w:val="001A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102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Emphasis">
    <w:name w:val="Emphasis"/>
    <w:basedOn w:val="DefaultParagraphFont"/>
    <w:uiPriority w:val="20"/>
    <w:qFormat/>
    <w:rsid w:val="002505E9"/>
    <w:rPr>
      <w:i/>
      <w:iCs/>
    </w:rPr>
  </w:style>
  <w:style w:type="character" w:styleId="Hyperlink">
    <w:name w:val="Hyperlink"/>
    <w:basedOn w:val="DefaultParagraphFont"/>
    <w:uiPriority w:val="99"/>
    <w:unhideWhenUsed/>
    <w:rsid w:val="00987F68"/>
    <w:rPr>
      <w:color w:val="0563C1" w:themeColor="hyperlink"/>
      <w:u w:val="single"/>
    </w:rPr>
  </w:style>
  <w:style w:type="character" w:styleId="UnresolvedMention">
    <w:name w:val="Unresolved Mention"/>
    <w:basedOn w:val="DefaultParagraphFont"/>
    <w:uiPriority w:val="99"/>
    <w:semiHidden/>
    <w:unhideWhenUsed/>
    <w:rsid w:val="00987F68"/>
    <w:rPr>
      <w:color w:val="605E5C"/>
      <w:shd w:val="clear" w:color="auto" w:fill="E1DFDD"/>
    </w:rPr>
  </w:style>
  <w:style w:type="character" w:customStyle="1" w:styleId="Heading1Char">
    <w:name w:val="Heading 1 Char"/>
    <w:basedOn w:val="DefaultParagraphFont"/>
    <w:link w:val="Heading1"/>
    <w:uiPriority w:val="9"/>
    <w:rsid w:val="00A0627E"/>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A0627E"/>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A062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627E"/>
    <w:rPr>
      <w:rFonts w:eastAsiaTheme="minorEastAsia"/>
      <w:color w:val="5A5A5A" w:themeColor="text1" w:themeTint="A5"/>
      <w:spacing w:val="15"/>
    </w:rPr>
  </w:style>
  <w:style w:type="character" w:styleId="SubtleEmphasis">
    <w:name w:val="Subtle Emphasis"/>
    <w:basedOn w:val="DefaultParagraphFont"/>
    <w:uiPriority w:val="19"/>
    <w:qFormat/>
    <w:rsid w:val="00A0627E"/>
    <w:rPr>
      <w:i/>
      <w:iCs/>
      <w:color w:val="404040" w:themeColor="text1" w:themeTint="BF"/>
    </w:rPr>
  </w:style>
  <w:style w:type="paragraph" w:styleId="TOCHeading">
    <w:name w:val="TOC Heading"/>
    <w:basedOn w:val="Heading1"/>
    <w:next w:val="Normal"/>
    <w:uiPriority w:val="39"/>
    <w:unhideWhenUsed/>
    <w:qFormat/>
    <w:rsid w:val="00A0627E"/>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FF63A6"/>
    <w:pPr>
      <w:tabs>
        <w:tab w:val="left" w:pos="440"/>
        <w:tab w:val="right" w:leader="dot" w:pos="9062"/>
      </w:tabs>
      <w:spacing w:after="100"/>
    </w:pPr>
    <w:rPr>
      <w:rFonts w:ascii="Times New Roman" w:eastAsia="Calibri" w:hAnsi="Times New Roman" w:cs="Times New Roman"/>
      <w:noProof/>
      <w:sz w:val="24"/>
      <w:szCs w:val="24"/>
      <w:lang w:eastAsia="et-EE"/>
    </w:rPr>
  </w:style>
  <w:style w:type="paragraph" w:styleId="TOC2">
    <w:name w:val="toc 2"/>
    <w:basedOn w:val="Normal"/>
    <w:next w:val="Normal"/>
    <w:autoRedefine/>
    <w:uiPriority w:val="39"/>
    <w:unhideWhenUsed/>
    <w:rsid w:val="00A0627E"/>
    <w:pPr>
      <w:spacing w:after="100"/>
      <w:ind w:left="220"/>
    </w:pPr>
  </w:style>
  <w:style w:type="paragraph" w:styleId="TOC3">
    <w:name w:val="toc 3"/>
    <w:basedOn w:val="Normal"/>
    <w:next w:val="Normal"/>
    <w:autoRedefine/>
    <w:uiPriority w:val="39"/>
    <w:unhideWhenUsed/>
    <w:rsid w:val="00A0627E"/>
    <w:pPr>
      <w:spacing w:after="100"/>
      <w:ind w:left="440"/>
    </w:pPr>
    <w:rPr>
      <w:rFonts w:eastAsiaTheme="minorEastAsia" w:cs="Times New Roman"/>
      <w:lang w:val="en-US"/>
    </w:rPr>
  </w:style>
  <w:style w:type="paragraph" w:styleId="CommentSubject">
    <w:name w:val="annotation subject"/>
    <w:basedOn w:val="CommentText"/>
    <w:next w:val="CommentText"/>
    <w:link w:val="CommentSubjectChar"/>
    <w:uiPriority w:val="99"/>
    <w:semiHidden/>
    <w:unhideWhenUsed/>
    <w:rsid w:val="00A06E09"/>
    <w:pPr>
      <w:suppressAutoHyphens w:val="0"/>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06E09"/>
    <w:rPr>
      <w:rFonts w:ascii="Times New Roman" w:eastAsia="Times New Roman" w:hAnsi="Times New Roman" w:cs="Times New Roman"/>
      <w:b/>
      <w:bCs/>
      <w:sz w:val="20"/>
      <w:szCs w:val="20"/>
      <w:lang w:eastAsia="ar-SA"/>
    </w:rPr>
  </w:style>
  <w:style w:type="paragraph" w:styleId="Revision">
    <w:name w:val="Revision"/>
    <w:hidden/>
    <w:uiPriority w:val="99"/>
    <w:semiHidden/>
    <w:rsid w:val="00347623"/>
    <w:pPr>
      <w:spacing w:after="0" w:line="240" w:lineRule="auto"/>
    </w:pPr>
  </w:style>
  <w:style w:type="paragraph" w:styleId="Header">
    <w:name w:val="header"/>
    <w:basedOn w:val="Normal"/>
    <w:link w:val="HeaderChar"/>
    <w:uiPriority w:val="99"/>
    <w:unhideWhenUsed/>
    <w:rsid w:val="00E308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0860"/>
  </w:style>
  <w:style w:type="paragraph" w:styleId="Footer">
    <w:name w:val="footer"/>
    <w:basedOn w:val="Normal"/>
    <w:link w:val="FooterChar"/>
    <w:uiPriority w:val="99"/>
    <w:unhideWhenUsed/>
    <w:rsid w:val="00E308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0860"/>
  </w:style>
  <w:style w:type="paragraph" w:customStyle="1" w:styleId="Default">
    <w:name w:val="Default"/>
    <w:rsid w:val="00946F7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46F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F7B"/>
    <w:rPr>
      <w:sz w:val="20"/>
      <w:szCs w:val="20"/>
    </w:rPr>
  </w:style>
  <w:style w:type="character" w:styleId="FootnoteReference">
    <w:name w:val="footnote reference"/>
    <w:basedOn w:val="DefaultParagraphFont"/>
    <w:uiPriority w:val="99"/>
    <w:semiHidden/>
    <w:unhideWhenUsed/>
    <w:rsid w:val="00946F7B"/>
    <w:rPr>
      <w:vertAlign w:val="superscript"/>
    </w:rPr>
  </w:style>
  <w:style w:type="character" w:customStyle="1" w:styleId="cf01">
    <w:name w:val="cf01"/>
    <w:basedOn w:val="DefaultParagraphFont"/>
    <w:rsid w:val="00557B73"/>
    <w:rPr>
      <w:rFonts w:ascii="Segoe UI" w:hAnsi="Segoe UI" w:cs="Segoe UI" w:hint="default"/>
      <w:sz w:val="18"/>
      <w:szCs w:val="18"/>
    </w:rPr>
  </w:style>
  <w:style w:type="character" w:customStyle="1" w:styleId="tyhik">
    <w:name w:val="tyhik"/>
    <w:basedOn w:val="DefaultParagraphFont"/>
    <w:rsid w:val="00A2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262">
      <w:bodyDiv w:val="1"/>
      <w:marLeft w:val="0"/>
      <w:marRight w:val="0"/>
      <w:marTop w:val="0"/>
      <w:marBottom w:val="0"/>
      <w:divBdr>
        <w:top w:val="none" w:sz="0" w:space="0" w:color="auto"/>
        <w:left w:val="none" w:sz="0" w:space="0" w:color="auto"/>
        <w:bottom w:val="none" w:sz="0" w:space="0" w:color="auto"/>
        <w:right w:val="none" w:sz="0" w:space="0" w:color="auto"/>
      </w:divBdr>
    </w:div>
    <w:div w:id="201869197">
      <w:bodyDiv w:val="1"/>
      <w:marLeft w:val="0"/>
      <w:marRight w:val="0"/>
      <w:marTop w:val="0"/>
      <w:marBottom w:val="0"/>
      <w:divBdr>
        <w:top w:val="none" w:sz="0" w:space="0" w:color="auto"/>
        <w:left w:val="none" w:sz="0" w:space="0" w:color="auto"/>
        <w:bottom w:val="none" w:sz="0" w:space="0" w:color="auto"/>
        <w:right w:val="none" w:sz="0" w:space="0" w:color="auto"/>
      </w:divBdr>
    </w:div>
    <w:div w:id="318727582">
      <w:bodyDiv w:val="1"/>
      <w:marLeft w:val="0"/>
      <w:marRight w:val="0"/>
      <w:marTop w:val="0"/>
      <w:marBottom w:val="0"/>
      <w:divBdr>
        <w:top w:val="none" w:sz="0" w:space="0" w:color="auto"/>
        <w:left w:val="none" w:sz="0" w:space="0" w:color="auto"/>
        <w:bottom w:val="none" w:sz="0" w:space="0" w:color="auto"/>
        <w:right w:val="none" w:sz="0" w:space="0" w:color="auto"/>
      </w:divBdr>
    </w:div>
    <w:div w:id="490682701">
      <w:bodyDiv w:val="1"/>
      <w:marLeft w:val="0"/>
      <w:marRight w:val="0"/>
      <w:marTop w:val="0"/>
      <w:marBottom w:val="0"/>
      <w:divBdr>
        <w:top w:val="none" w:sz="0" w:space="0" w:color="auto"/>
        <w:left w:val="none" w:sz="0" w:space="0" w:color="auto"/>
        <w:bottom w:val="none" w:sz="0" w:space="0" w:color="auto"/>
        <w:right w:val="none" w:sz="0" w:space="0" w:color="auto"/>
      </w:divBdr>
    </w:div>
    <w:div w:id="527767055">
      <w:bodyDiv w:val="1"/>
      <w:marLeft w:val="0"/>
      <w:marRight w:val="0"/>
      <w:marTop w:val="0"/>
      <w:marBottom w:val="0"/>
      <w:divBdr>
        <w:top w:val="none" w:sz="0" w:space="0" w:color="auto"/>
        <w:left w:val="none" w:sz="0" w:space="0" w:color="auto"/>
        <w:bottom w:val="none" w:sz="0" w:space="0" w:color="auto"/>
        <w:right w:val="none" w:sz="0" w:space="0" w:color="auto"/>
      </w:divBdr>
    </w:div>
    <w:div w:id="579142666">
      <w:bodyDiv w:val="1"/>
      <w:marLeft w:val="0"/>
      <w:marRight w:val="0"/>
      <w:marTop w:val="0"/>
      <w:marBottom w:val="0"/>
      <w:divBdr>
        <w:top w:val="none" w:sz="0" w:space="0" w:color="auto"/>
        <w:left w:val="none" w:sz="0" w:space="0" w:color="auto"/>
        <w:bottom w:val="none" w:sz="0" w:space="0" w:color="auto"/>
        <w:right w:val="none" w:sz="0" w:space="0" w:color="auto"/>
      </w:divBdr>
    </w:div>
    <w:div w:id="617757830">
      <w:bodyDiv w:val="1"/>
      <w:marLeft w:val="0"/>
      <w:marRight w:val="0"/>
      <w:marTop w:val="0"/>
      <w:marBottom w:val="0"/>
      <w:divBdr>
        <w:top w:val="none" w:sz="0" w:space="0" w:color="auto"/>
        <w:left w:val="none" w:sz="0" w:space="0" w:color="auto"/>
        <w:bottom w:val="none" w:sz="0" w:space="0" w:color="auto"/>
        <w:right w:val="none" w:sz="0" w:space="0" w:color="auto"/>
      </w:divBdr>
    </w:div>
    <w:div w:id="685449685">
      <w:bodyDiv w:val="1"/>
      <w:marLeft w:val="0"/>
      <w:marRight w:val="0"/>
      <w:marTop w:val="0"/>
      <w:marBottom w:val="0"/>
      <w:divBdr>
        <w:top w:val="none" w:sz="0" w:space="0" w:color="auto"/>
        <w:left w:val="none" w:sz="0" w:space="0" w:color="auto"/>
        <w:bottom w:val="none" w:sz="0" w:space="0" w:color="auto"/>
        <w:right w:val="none" w:sz="0" w:space="0" w:color="auto"/>
      </w:divBdr>
    </w:div>
    <w:div w:id="704255723">
      <w:bodyDiv w:val="1"/>
      <w:marLeft w:val="0"/>
      <w:marRight w:val="0"/>
      <w:marTop w:val="0"/>
      <w:marBottom w:val="0"/>
      <w:divBdr>
        <w:top w:val="none" w:sz="0" w:space="0" w:color="auto"/>
        <w:left w:val="none" w:sz="0" w:space="0" w:color="auto"/>
        <w:bottom w:val="none" w:sz="0" w:space="0" w:color="auto"/>
        <w:right w:val="none" w:sz="0" w:space="0" w:color="auto"/>
      </w:divBdr>
    </w:div>
    <w:div w:id="732779069">
      <w:bodyDiv w:val="1"/>
      <w:marLeft w:val="0"/>
      <w:marRight w:val="0"/>
      <w:marTop w:val="0"/>
      <w:marBottom w:val="0"/>
      <w:divBdr>
        <w:top w:val="none" w:sz="0" w:space="0" w:color="auto"/>
        <w:left w:val="none" w:sz="0" w:space="0" w:color="auto"/>
        <w:bottom w:val="none" w:sz="0" w:space="0" w:color="auto"/>
        <w:right w:val="none" w:sz="0" w:space="0" w:color="auto"/>
      </w:divBdr>
    </w:div>
    <w:div w:id="839005171">
      <w:bodyDiv w:val="1"/>
      <w:marLeft w:val="0"/>
      <w:marRight w:val="0"/>
      <w:marTop w:val="0"/>
      <w:marBottom w:val="0"/>
      <w:divBdr>
        <w:top w:val="none" w:sz="0" w:space="0" w:color="auto"/>
        <w:left w:val="none" w:sz="0" w:space="0" w:color="auto"/>
        <w:bottom w:val="none" w:sz="0" w:space="0" w:color="auto"/>
        <w:right w:val="none" w:sz="0" w:space="0" w:color="auto"/>
      </w:divBdr>
    </w:div>
    <w:div w:id="883443252">
      <w:bodyDiv w:val="1"/>
      <w:marLeft w:val="0"/>
      <w:marRight w:val="0"/>
      <w:marTop w:val="0"/>
      <w:marBottom w:val="0"/>
      <w:divBdr>
        <w:top w:val="none" w:sz="0" w:space="0" w:color="auto"/>
        <w:left w:val="none" w:sz="0" w:space="0" w:color="auto"/>
        <w:bottom w:val="none" w:sz="0" w:space="0" w:color="auto"/>
        <w:right w:val="none" w:sz="0" w:space="0" w:color="auto"/>
      </w:divBdr>
    </w:div>
    <w:div w:id="1121848470">
      <w:bodyDiv w:val="1"/>
      <w:marLeft w:val="0"/>
      <w:marRight w:val="0"/>
      <w:marTop w:val="0"/>
      <w:marBottom w:val="0"/>
      <w:divBdr>
        <w:top w:val="none" w:sz="0" w:space="0" w:color="auto"/>
        <w:left w:val="none" w:sz="0" w:space="0" w:color="auto"/>
        <w:bottom w:val="none" w:sz="0" w:space="0" w:color="auto"/>
        <w:right w:val="none" w:sz="0" w:space="0" w:color="auto"/>
      </w:divBdr>
    </w:div>
    <w:div w:id="1167751559">
      <w:bodyDiv w:val="1"/>
      <w:marLeft w:val="0"/>
      <w:marRight w:val="0"/>
      <w:marTop w:val="0"/>
      <w:marBottom w:val="0"/>
      <w:divBdr>
        <w:top w:val="none" w:sz="0" w:space="0" w:color="auto"/>
        <w:left w:val="none" w:sz="0" w:space="0" w:color="auto"/>
        <w:bottom w:val="none" w:sz="0" w:space="0" w:color="auto"/>
        <w:right w:val="none" w:sz="0" w:space="0" w:color="auto"/>
      </w:divBdr>
    </w:div>
    <w:div w:id="1207060557">
      <w:bodyDiv w:val="1"/>
      <w:marLeft w:val="0"/>
      <w:marRight w:val="0"/>
      <w:marTop w:val="0"/>
      <w:marBottom w:val="0"/>
      <w:divBdr>
        <w:top w:val="none" w:sz="0" w:space="0" w:color="auto"/>
        <w:left w:val="none" w:sz="0" w:space="0" w:color="auto"/>
        <w:bottom w:val="none" w:sz="0" w:space="0" w:color="auto"/>
        <w:right w:val="none" w:sz="0" w:space="0" w:color="auto"/>
      </w:divBdr>
    </w:div>
    <w:div w:id="1231424591">
      <w:bodyDiv w:val="1"/>
      <w:marLeft w:val="0"/>
      <w:marRight w:val="0"/>
      <w:marTop w:val="0"/>
      <w:marBottom w:val="0"/>
      <w:divBdr>
        <w:top w:val="none" w:sz="0" w:space="0" w:color="auto"/>
        <w:left w:val="none" w:sz="0" w:space="0" w:color="auto"/>
        <w:bottom w:val="none" w:sz="0" w:space="0" w:color="auto"/>
        <w:right w:val="none" w:sz="0" w:space="0" w:color="auto"/>
      </w:divBdr>
    </w:div>
    <w:div w:id="1303005348">
      <w:bodyDiv w:val="1"/>
      <w:marLeft w:val="0"/>
      <w:marRight w:val="0"/>
      <w:marTop w:val="0"/>
      <w:marBottom w:val="0"/>
      <w:divBdr>
        <w:top w:val="none" w:sz="0" w:space="0" w:color="auto"/>
        <w:left w:val="none" w:sz="0" w:space="0" w:color="auto"/>
        <w:bottom w:val="none" w:sz="0" w:space="0" w:color="auto"/>
        <w:right w:val="none" w:sz="0" w:space="0" w:color="auto"/>
      </w:divBdr>
    </w:div>
    <w:div w:id="1388531205">
      <w:bodyDiv w:val="1"/>
      <w:marLeft w:val="0"/>
      <w:marRight w:val="0"/>
      <w:marTop w:val="0"/>
      <w:marBottom w:val="0"/>
      <w:divBdr>
        <w:top w:val="none" w:sz="0" w:space="0" w:color="auto"/>
        <w:left w:val="none" w:sz="0" w:space="0" w:color="auto"/>
        <w:bottom w:val="none" w:sz="0" w:space="0" w:color="auto"/>
        <w:right w:val="none" w:sz="0" w:space="0" w:color="auto"/>
      </w:divBdr>
    </w:div>
    <w:div w:id="1463618638">
      <w:bodyDiv w:val="1"/>
      <w:marLeft w:val="0"/>
      <w:marRight w:val="0"/>
      <w:marTop w:val="0"/>
      <w:marBottom w:val="0"/>
      <w:divBdr>
        <w:top w:val="none" w:sz="0" w:space="0" w:color="auto"/>
        <w:left w:val="none" w:sz="0" w:space="0" w:color="auto"/>
        <w:bottom w:val="none" w:sz="0" w:space="0" w:color="auto"/>
        <w:right w:val="none" w:sz="0" w:space="0" w:color="auto"/>
      </w:divBdr>
    </w:div>
    <w:div w:id="1509637915">
      <w:bodyDiv w:val="1"/>
      <w:marLeft w:val="0"/>
      <w:marRight w:val="0"/>
      <w:marTop w:val="0"/>
      <w:marBottom w:val="0"/>
      <w:divBdr>
        <w:top w:val="none" w:sz="0" w:space="0" w:color="auto"/>
        <w:left w:val="none" w:sz="0" w:space="0" w:color="auto"/>
        <w:bottom w:val="none" w:sz="0" w:space="0" w:color="auto"/>
        <w:right w:val="none" w:sz="0" w:space="0" w:color="auto"/>
      </w:divBdr>
    </w:div>
    <w:div w:id="1647779515">
      <w:bodyDiv w:val="1"/>
      <w:marLeft w:val="0"/>
      <w:marRight w:val="0"/>
      <w:marTop w:val="0"/>
      <w:marBottom w:val="0"/>
      <w:divBdr>
        <w:top w:val="none" w:sz="0" w:space="0" w:color="auto"/>
        <w:left w:val="none" w:sz="0" w:space="0" w:color="auto"/>
        <w:bottom w:val="none" w:sz="0" w:space="0" w:color="auto"/>
        <w:right w:val="none" w:sz="0" w:space="0" w:color="auto"/>
      </w:divBdr>
    </w:div>
    <w:div w:id="1651324216">
      <w:bodyDiv w:val="1"/>
      <w:marLeft w:val="0"/>
      <w:marRight w:val="0"/>
      <w:marTop w:val="0"/>
      <w:marBottom w:val="0"/>
      <w:divBdr>
        <w:top w:val="none" w:sz="0" w:space="0" w:color="auto"/>
        <w:left w:val="none" w:sz="0" w:space="0" w:color="auto"/>
        <w:bottom w:val="none" w:sz="0" w:space="0" w:color="auto"/>
        <w:right w:val="none" w:sz="0" w:space="0" w:color="auto"/>
      </w:divBdr>
    </w:div>
    <w:div w:id="1868983892">
      <w:bodyDiv w:val="1"/>
      <w:marLeft w:val="0"/>
      <w:marRight w:val="0"/>
      <w:marTop w:val="0"/>
      <w:marBottom w:val="0"/>
      <w:divBdr>
        <w:top w:val="none" w:sz="0" w:space="0" w:color="auto"/>
        <w:left w:val="none" w:sz="0" w:space="0" w:color="auto"/>
        <w:bottom w:val="none" w:sz="0" w:space="0" w:color="auto"/>
        <w:right w:val="none" w:sz="0" w:space="0" w:color="auto"/>
      </w:divBdr>
    </w:div>
    <w:div w:id="1887795506">
      <w:bodyDiv w:val="1"/>
      <w:marLeft w:val="0"/>
      <w:marRight w:val="0"/>
      <w:marTop w:val="0"/>
      <w:marBottom w:val="0"/>
      <w:divBdr>
        <w:top w:val="none" w:sz="0" w:space="0" w:color="auto"/>
        <w:left w:val="none" w:sz="0" w:space="0" w:color="auto"/>
        <w:bottom w:val="none" w:sz="0" w:space="0" w:color="auto"/>
        <w:right w:val="none" w:sz="0" w:space="0" w:color="auto"/>
      </w:divBdr>
    </w:div>
    <w:div w:id="199363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98148-6C78-45AE-A49E-44EDB3FB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14</Pages>
  <Words>5729</Words>
  <Characters>33234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 Mägi</dc:creator>
  <cp:keywords/>
  <dc:description/>
  <cp:lastModifiedBy>Marge Vaikjärv</cp:lastModifiedBy>
  <cp:revision>17</cp:revision>
  <dcterms:created xsi:type="dcterms:W3CDTF">2021-02-19T11:39:00Z</dcterms:created>
  <dcterms:modified xsi:type="dcterms:W3CDTF">2021-06-30T12:34:00Z</dcterms:modified>
</cp:coreProperties>
</file>