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94C0" w14:textId="77777777" w:rsidR="000D1428" w:rsidRDefault="000D1428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229"/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0D1428" w14:paraId="09A53151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761572CC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Indikaatori nimetus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2FE1EF47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Kardioloogia indikaator: Püsiva suukaudse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antikoagulantravi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määramine  ≥65 aastastel kodade virvendusarütmia (RHK-10 diagnoos I48) patsientidel.</w:t>
            </w:r>
          </w:p>
        </w:tc>
      </w:tr>
      <w:tr w:rsidR="000D1428" w14:paraId="6BC15416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1619E95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1743639"/>
            <w:r>
              <w:rPr>
                <w:rFonts w:ascii="Times New Roman" w:hAnsi="Times New Roman"/>
                <w:b/>
                <w:sz w:val="24"/>
                <w:szCs w:val="24"/>
              </w:rPr>
              <w:t>Indikaatori kirjeldus/ Vajaduse põhjendus</w:t>
            </w:r>
            <w:bookmarkEnd w:id="0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D8FC6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Indikaatori sihtgrupi moodustavad ≥ 65</w:t>
            </w:r>
            <w:r w:rsidR="00F5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aastased patsiendid, kellel on eelneva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aasta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diagnoositud kodade virvendusarütmia (RHK-10 diagnoos I48).</w:t>
            </w:r>
          </w:p>
          <w:p w14:paraId="58516A02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Selles haigete grupis on kõige raskemaks tüsistuseks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trombembooliline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ajuinfarkt, mida saab ennetada adekvaatse suukaudse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(K-vitamiini antagonisti või otsese suukaudse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antikoagulandiga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465CA8B7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Antikoagulantravi soovitus kodade virvendusarütmiaga haigel lähtub haige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trombemboolilisest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riskist ja määratakse vastava skoori alusel (CHA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-VASc skoor). Euroopa Kardioloogide Seltsi kodade virvendusarütmia ravijuhise alusel võib kaaluda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antikogulantravi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kui CHA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-VASc skoori väärtus on meestel ≥ 1 ja naistel ≥ 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klassi soovitus), kuid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kasutamine on näidustatud kui CHA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-VASc skoori väärtus on meestel ≥ 2 ja naistel ≥ 3 (I klassi soovitus). Üle 65 aastastel patsientidel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soovitus üldjuhul universaalne, sest kõrge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trombemboolilise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riskiga on erinevate registrite andmetel neist umbes 70-80 %. Ometi on leitud,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kasutajaid selles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eagrupis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vaid 50-60 %. </w:t>
            </w:r>
          </w:p>
        </w:tc>
      </w:tr>
      <w:tr w:rsidR="000D1428" w14:paraId="59B0D2C2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2C3C780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Definitsioon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96EE9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≥ 65 aastaste kodade virvendusarütmia (RHK-10 diagnoos I48) patsientide osakaal, kellele on määratud püsiv suukaudne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D1428" w14:paraId="591B41CB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F924ED1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Indikaatori tüüp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688CF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Protsessi indikaator</w:t>
            </w:r>
          </w:p>
        </w:tc>
      </w:tr>
      <w:tr w:rsidR="000D1428" w14:paraId="0195809B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B7E55D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Lugeja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24180" w14:textId="77777777" w:rsidR="000D1428" w:rsidRDefault="004B7E0D" w:rsidP="00DA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Y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Kõigi ≥ 65 aastaste patsientide arv, kellel on eelneva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aasta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diagnoositud kodade virvendusarütmia (RHK-10 diagnoos I48) ja kellele on määratud püsiv suukaudne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(vaadeldaval aastal ≥1 päevadoos iga eluspäeva kohta, arvestatakse ka eelmisel aastal kirjutatud retsepte, mis ulatuvad vaadeldavasse aastasse, ravimi vahetuse korral läheb see arvesse uue ravimi </w:t>
            </w:r>
            <w:r w:rsidRPr="00211A30">
              <w:rPr>
                <w:rFonts w:ascii="Times New Roman" w:hAnsi="Times New Roman"/>
                <w:b/>
                <w:bCs/>
                <w:sz w:val="24"/>
                <w:szCs w:val="24"/>
              </w:rPr>
              <w:t>väljaostmise kuupäevast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AE6C160" w14:textId="4021345A" w:rsidR="00314922" w:rsidRDefault="00314922" w:rsidP="00DA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28" w14:paraId="1E476CA8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F73702E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Nimetaja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3858D" w14:textId="77777777" w:rsidR="000D1428" w:rsidRDefault="004B7E0D" w:rsidP="00134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Kõigi ≥ 65 aastaste patsientide arv, kellel on eelneva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aasta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diagnoositud kodade virvendusarütmia (RHK-10 diagnoos I48)</w:t>
            </w:r>
          </w:p>
        </w:tc>
      </w:tr>
      <w:tr w:rsidR="000D1428" w14:paraId="7728F8FE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5203B3B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Valem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D03E0" w14:textId="77777777" w:rsidR="000D1428" w:rsidRDefault="000D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A801E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Y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PAK-l olevate I48 patsientide arv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N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kõigi I48 patsientide arv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571CD46" w14:textId="77777777" w:rsidR="000D1428" w:rsidRDefault="000D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CD01F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 – püsiv suukaudne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antikoagulantravi</w:t>
            </w:r>
            <w:proofErr w:type="spellEnd"/>
          </w:p>
        </w:tc>
      </w:tr>
      <w:tr w:rsidR="000D1428" w14:paraId="1B474B3D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9E53044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Sihtgrupp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9949D" w14:textId="77777777" w:rsidR="000D1428" w:rsidRDefault="004B7E0D" w:rsidP="00134A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Kõik patsiendid, kellel on eelneva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aasta</w:t>
            </w:r>
            <w:r w:rsidR="00134AD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diagnoositud kodade virvendusarütmia (RHK-10 diagnoos I48). </w:t>
            </w:r>
          </w:p>
        </w:tc>
      </w:tr>
      <w:tr w:rsidR="000D1428" w14:paraId="199D00B4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91E34D6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Eeldused indikaatori arvutamiseks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DA8C5" w14:textId="77777777" w:rsidR="000D1428" w:rsidRDefault="004B7E0D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pt-PT"/>
              </w:rPr>
              <w:t>õ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- või kaasuv diagnoos - kodade virvendusarütmia (RHK-10 diagnoos I48)</w:t>
            </w:r>
          </w:p>
          <w:p w14:paraId="70A05BCA" w14:textId="77777777" w:rsidR="000D1428" w:rsidRDefault="004B7E0D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Statsionaarse või ambulatoorse ravi tunnus</w:t>
            </w:r>
          </w:p>
          <w:p w14:paraId="52EE467F" w14:textId="77777777" w:rsidR="000D1428" w:rsidRDefault="004B7E0D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lastRenderedPageBreak/>
              <w:t>Patsiendi vanus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– vaadeldava aasta alguseks täitunud 65 eluaastat </w:t>
            </w:r>
          </w:p>
          <w:p w14:paraId="1A13688E" w14:textId="77777777" w:rsidR="000D1428" w:rsidRDefault="004B7E0D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Vaadeldava aasta jooksul hinnatakse patsiendi eluspäevade kaetust väljakirjutatud suukaudse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antikoagulantraviga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arvestades individuaalset annusevalikut</w:t>
            </w:r>
          </w:p>
          <w:p w14:paraId="759ED112" w14:textId="77777777" w:rsidR="000D1428" w:rsidRDefault="004B7E0D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Vaadeldava aasta jooksul surnud patsiendi eluspäevade arv vaadeldaval aastal, selleks vajalik surma kuupäev</w:t>
            </w:r>
          </w:p>
          <w:p w14:paraId="68C7964C" w14:textId="77777777" w:rsidR="000D1428" w:rsidRDefault="004B7E0D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Hinnatavad toimeained ja päevaannused: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varfariin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(3 mg või 5 mg, arvestusega kokkuleppeliselt 1 tablett päevas)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rivaroksabaan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(15 mg või 20 mg 1 tablett päevas),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apiksabaan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2,5 mg või 5 mg, 1 tablett 2 korda päevas)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dabigatraan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(110 mg või 150 mg, 1 tablett 2 korda päevas) ja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edoksabaan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(30 mg või 60 mg, 1 tablett päevas).</w:t>
            </w:r>
          </w:p>
          <w:p w14:paraId="2ADD157F" w14:textId="77777777" w:rsidR="000D1428" w:rsidRDefault="004B7E0D" w:rsidP="00134ADF">
            <w:pPr>
              <w:pStyle w:val="Body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Analüüsi teostamisel võetakse arvesse ka eelneval aastal väljakirjutatud retseptid, mille ravimikogus võib ulatuda vaadeldavasse aastasse.</w:t>
            </w:r>
          </w:p>
          <w:p w14:paraId="4BDDDE11" w14:textId="3367A977" w:rsidR="008F24BE" w:rsidRDefault="008F24BE" w:rsidP="00912107">
            <w:pPr>
              <w:pStyle w:val="Body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0D1428" w14:paraId="2CEA4910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30BAA7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Sisse arvatud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757A86" w14:textId="77777777" w:rsidR="000D1428" w:rsidRDefault="004B7E0D" w:rsidP="000D5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≥ 65 aastased patsiendid, kellel on eelneval aastal </w:t>
            </w:r>
            <w:r w:rsidR="00826F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dokumenteeritud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kodade virvendusarütmia (RHK-10 diagnoos I48)</w:t>
            </w:r>
            <w:r w:rsidR="000D5CE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s.t. võib olla nii esmane kui korduv diagnoos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D1428" w14:paraId="1AC31D51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301B13F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Välja arvatud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EB45D" w14:textId="3A99A12A" w:rsidR="000D1428" w:rsidRDefault="004B7E0D" w:rsidP="00011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≥ 65 aastased patsiendid, kellel on </w:t>
            </w:r>
            <w:r w:rsidR="000110F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eelneval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aasta</w:t>
            </w:r>
            <w:r w:rsidR="000110F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diagnoositud kodade virvendusarütmia (RHK-10 diagnoos I48) ja kellele on määratud raviks madalmolekulaarne hepariin (enoksapariin, daltepariin, nadropariin, bemiprariin)</w:t>
            </w:r>
          </w:p>
          <w:p w14:paraId="365199D1" w14:textId="7386A8B6" w:rsidR="00912107" w:rsidRPr="00912107" w:rsidRDefault="00912107" w:rsidP="009121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Välja jäid sellised retseptid, kus toimeaine </w:t>
            </w:r>
            <w:proofErr w:type="spellStart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>dabigrataaneteksilaadi</w:t>
            </w:r>
            <w:proofErr w:type="spellEnd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korral oli toimeaine 75 mg, toimeaine </w:t>
            </w:r>
            <w:proofErr w:type="spellStart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>rivaroksabaani</w:t>
            </w:r>
            <w:proofErr w:type="spellEnd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korral 10 mg ning retsepti omanikele ei olnud välja kirjutatud </w:t>
            </w:r>
            <w:proofErr w:type="spellStart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>klopidogreeli</w:t>
            </w:r>
            <w:proofErr w:type="spellEnd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</w:t>
            </w:r>
            <w:proofErr w:type="spellStart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>tikagreloori</w:t>
            </w:r>
            <w:proofErr w:type="spellEnd"/>
            <w:r w:rsidRPr="00912107">
              <w:rPr>
                <w:rFonts w:ascii="Times New Roman" w:eastAsia="Times New Roman" w:hAnsi="Times New Roman" w:cs="Times New Roman"/>
                <w:sz w:val="24"/>
                <w:szCs w:val="24"/>
              </w:rPr>
              <w:t>. Põhjuseks asjaolu, et konkreetsetel juhtudel on doosid ebapiisavad.</w:t>
            </w:r>
          </w:p>
          <w:p w14:paraId="62F98DD5" w14:textId="425E570F" w:rsidR="00912107" w:rsidRPr="00912107" w:rsidRDefault="00912107" w:rsidP="0091210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D1428" w14:paraId="3375F6D8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A486658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Tõlgendus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B2777" w14:textId="77777777" w:rsidR="000D1428" w:rsidRDefault="004B7E0D" w:rsidP="00282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Eesmärk:</w:t>
            </w:r>
            <w:r w:rsidR="0077065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2825BC">
              <w:rPr>
                <w:rFonts w:ascii="Times New Roman" w:hAnsi="Times New Roman"/>
                <w:sz w:val="24"/>
                <w:szCs w:val="24"/>
              </w:rPr>
              <w:t>.</w:t>
            </w:r>
            <w:r w:rsidR="00770651">
              <w:rPr>
                <w:rFonts w:ascii="Times New Roman" w:hAnsi="Times New Roman"/>
                <w:sz w:val="24"/>
                <w:szCs w:val="24"/>
              </w:rPr>
              <w:t xml:space="preserve"> aastal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~60 % (indikaatori eesmärkväärtus antakse eelneva aasta tulemuse aluse</w:t>
            </w:r>
            <w:r w:rsidR="001C545C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 eeldades 5 % paranemist </w:t>
            </w:r>
            <w:r w:rsidR="002825BC">
              <w:rPr>
                <w:rFonts w:ascii="Times New Roman" w:hAnsi="Times New Roman"/>
                <w:sz w:val="24"/>
                <w:szCs w:val="24"/>
              </w:rPr>
              <w:t>igal aastal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1428" w14:paraId="713C6BD0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F8B848D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Andmeallikad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8E506" w14:textId="77777777" w:rsidR="000D1428" w:rsidRDefault="004B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Eesti Haigekassa raviarved</w:t>
            </w:r>
          </w:p>
          <w:p w14:paraId="7126DBD0" w14:textId="77777777" w:rsidR="000D1428" w:rsidRDefault="004B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Surma põhjuste register</w:t>
            </w:r>
          </w:p>
          <w:p w14:paraId="7ACBA316" w14:textId="77777777" w:rsidR="000D1428" w:rsidRDefault="004B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Retseptikeskus</w:t>
            </w:r>
          </w:p>
        </w:tc>
      </w:tr>
      <w:tr w:rsidR="000D1428" w14:paraId="7850C77B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6010F43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Jälgimisperiood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34B30" w14:textId="77777777" w:rsidR="000D1428" w:rsidRDefault="004B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Jälgimisperiood 01. jaanuar – 31. detsember </w:t>
            </w:r>
          </w:p>
          <w:p w14:paraId="36586613" w14:textId="77777777" w:rsidR="000D1428" w:rsidRDefault="000D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28" w14:paraId="502B15B8" w14:textId="7777777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E01BF0E" w14:textId="77777777" w:rsidR="000D1428" w:rsidRDefault="004B7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Edasine informatsioon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B6237" w14:textId="77777777" w:rsidR="000D1428" w:rsidRDefault="004B7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Hindricks G, Potpara T, Dagres N jt. 2020 ESC Guidelines for the diagnosis and management of atrial fibrillation developed in collaboration with the European Association of Cardio-Thoracic Surgery (EACTS). European Heart Journal 2020 doi:10.1093/eurheartj/ehaa612. </w:t>
            </w:r>
          </w:p>
          <w:p w14:paraId="33C3A190" w14:textId="77777777" w:rsidR="000D1428" w:rsidRDefault="004B7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lastRenderedPageBreak/>
              <w:t>Kakkar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AK, Mueller 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Bassand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JP, et al. Risk profiles and antithrombotic treatment of patients newly diagnosed with atrial fibrillation at risk of stroke: perspectives from the international, observational, prospective GARFIELD registry.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PLoS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One 2013; 8: e63479. </w:t>
            </w:r>
          </w:p>
          <w:p w14:paraId="7319D306" w14:textId="77777777" w:rsidR="000D1428" w:rsidRDefault="004B7E0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Gregory Y. H. Lip, Sana M. Al‐Khatib, Francisco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Cosio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Amitava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Banerjee,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Savelieva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, Jeremy Ruskin,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Blendea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, Stanley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Nattel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, Joseph De Bono, Jennifer M. Conroy, Paul L. Hess, Eduard Guasch, Jonathan L. Halperin, Paulus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Kirchhof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, M. Dolores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Cosio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, A. John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Camm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Contemporary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Management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Atrial Fibrillation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: What Can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Clinical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Registries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Tell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About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Stroke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Prevention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>Therapeutic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 w:eastAsia="en-GB"/>
              </w:rPr>
              <w:t xml:space="preserve">Approaches?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J Am Heart Assoc. 2014 Aug; 3(4): e001179. Published online 2014 Aug 27.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doi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: 10.1161/JAHA.114.001179</w:t>
            </w:r>
          </w:p>
          <w:p w14:paraId="40C1727C" w14:textId="77777777" w:rsidR="000D1428" w:rsidRDefault="004B7E0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Glazer NL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Dublin S,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Smith NL,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French B,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Jackson LA,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Hrachovec JB,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Siscovick DS,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Psaty BM,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Heckbert SR. Newly detected atrial fibrillation and compliance with antithrombotic guidelines. Arch Intern Med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2007 ;167(3):246-52.</w:t>
            </w:r>
          </w:p>
          <w:p w14:paraId="5851C8B3" w14:textId="77777777" w:rsidR="000D1428" w:rsidRDefault="004B7E0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>
              <w:rPr>
                <w:rStyle w:val="wi-fullname"/>
                <w:rFonts w:ascii="Times New Roman" w:hAnsi="Times New Roman" w:cs="Times New Roman"/>
                <w:color w:val="00000A"/>
                <w:sz w:val="24"/>
                <w:szCs w:val="24"/>
              </w:rPr>
              <w:t>Jonathan C. Hsu,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Style w:val="wi-fullname"/>
                <w:rFonts w:ascii="Times New Roman" w:hAnsi="Times New Roman" w:cs="Times New Roman"/>
                <w:color w:val="00000A"/>
                <w:sz w:val="24"/>
                <w:szCs w:val="24"/>
              </w:rPr>
              <w:t>Thomas M. Maddox,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  <w:r>
              <w:rPr>
                <w:rStyle w:val="wi-fullname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Kevin F. Kennedy et al.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Oral Anticoagulant Therapy Prescription in Patients With Atrial Fibrillation Across the Spectrum of Stroke Risk </w:t>
            </w:r>
            <w:r>
              <w:rPr>
                <w:rStyle w:val="Subtitle1"/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Insights From the NCDR PINNACLE Registry. </w:t>
            </w:r>
            <w:r>
              <w:rPr>
                <w:rStyle w:val="meta-citation-journal-name"/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JAMA Cardiol.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 </w:t>
            </w:r>
            <w:r>
              <w:rPr>
                <w:rStyle w:val="meta-citation"/>
                <w:rFonts w:ascii="Times New Roman" w:hAnsi="Times New Roman" w:cs="Times New Roman"/>
                <w:color w:val="00000A"/>
                <w:sz w:val="24"/>
                <w:szCs w:val="24"/>
              </w:rPr>
              <w:t>2016;1:55-62</w:t>
            </w:r>
          </w:p>
          <w:p w14:paraId="548D6A12" w14:textId="77777777" w:rsidR="000D1428" w:rsidRDefault="00A85BC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hyperlink r:id="rId9">
              <w:r w:rsidR="004B7E0D">
                <w:rPr>
                  <w:rStyle w:val="ListLabel28"/>
                  <w:color w:val="00000A"/>
                </w:rPr>
                <w:t>https://www.haigekassa.ee/et/auditite-kokkuvotted-2014-2017</w:t>
              </w:r>
            </w:hyperlink>
          </w:p>
        </w:tc>
      </w:tr>
    </w:tbl>
    <w:p w14:paraId="1FED243D" w14:textId="77777777" w:rsidR="000D1428" w:rsidRDefault="000D1428"/>
    <w:sectPr w:rsidR="000D14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CCF"/>
    <w:multiLevelType w:val="multilevel"/>
    <w:tmpl w:val="6772D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924C3A"/>
    <w:multiLevelType w:val="multilevel"/>
    <w:tmpl w:val="35C2D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101B9"/>
    <w:multiLevelType w:val="multilevel"/>
    <w:tmpl w:val="98A8E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42DB"/>
    <w:multiLevelType w:val="multilevel"/>
    <w:tmpl w:val="17F8D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9E464F"/>
    <w:multiLevelType w:val="multilevel"/>
    <w:tmpl w:val="F9DE7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28"/>
    <w:rsid w:val="000110FD"/>
    <w:rsid w:val="00026215"/>
    <w:rsid w:val="000D1428"/>
    <w:rsid w:val="000D5CE9"/>
    <w:rsid w:val="00134ADF"/>
    <w:rsid w:val="001C545C"/>
    <w:rsid w:val="00211A30"/>
    <w:rsid w:val="002825BC"/>
    <w:rsid w:val="00314922"/>
    <w:rsid w:val="003F1F79"/>
    <w:rsid w:val="004B7E0D"/>
    <w:rsid w:val="007255B0"/>
    <w:rsid w:val="00770651"/>
    <w:rsid w:val="00826FA4"/>
    <w:rsid w:val="00877199"/>
    <w:rsid w:val="008F24BE"/>
    <w:rsid w:val="00912107"/>
    <w:rsid w:val="00A85BC7"/>
    <w:rsid w:val="00DA3637"/>
    <w:rsid w:val="00DA4FEC"/>
    <w:rsid w:val="00E31FE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FF5E"/>
  <w15:docId w15:val="{521870F7-FE3F-4D40-A147-DC8B1EA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qFormat/>
    <w:rsid w:val="00D33B92"/>
  </w:style>
  <w:style w:type="character" w:customStyle="1" w:styleId="Hyperlink0">
    <w:name w:val="Hyperlink.0"/>
    <w:qFormat/>
    <w:rsid w:val="00D33B92"/>
    <w:rPr>
      <w:color w:val="0000FF"/>
      <w:u w:val="single" w:color="0000FF"/>
    </w:rPr>
  </w:style>
  <w:style w:type="character" w:customStyle="1" w:styleId="Hyperlink1">
    <w:name w:val="Hyperlink.1"/>
    <w:qFormat/>
    <w:rsid w:val="00D33B92"/>
    <w:rPr>
      <w:color w:val="0000FF"/>
      <w:u w:val="single" w:color="0000FF"/>
    </w:rPr>
  </w:style>
  <w:style w:type="character" w:customStyle="1" w:styleId="InternetLink">
    <w:name w:val="Internet Link"/>
    <w:uiPriority w:val="99"/>
    <w:unhideWhenUsed/>
    <w:rsid w:val="00D33B92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F2680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A411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A411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A411E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411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qFormat/>
    <w:rsid w:val="00D21180"/>
  </w:style>
  <w:style w:type="character" w:customStyle="1" w:styleId="Subtitle1">
    <w:name w:val="Subtitle1"/>
    <w:basedOn w:val="DefaultParagraphFont"/>
    <w:qFormat/>
    <w:rsid w:val="00D21180"/>
  </w:style>
  <w:style w:type="character" w:customStyle="1" w:styleId="wi-fullname">
    <w:name w:val="wi-fullname"/>
    <w:basedOn w:val="DefaultParagraphFont"/>
    <w:qFormat/>
    <w:rsid w:val="00D21180"/>
  </w:style>
  <w:style w:type="character" w:customStyle="1" w:styleId="meta-citation-journal-name">
    <w:name w:val="meta-citation-journal-name"/>
    <w:basedOn w:val="DefaultParagraphFont"/>
    <w:qFormat/>
    <w:rsid w:val="00D21180"/>
  </w:style>
  <w:style w:type="character" w:customStyle="1" w:styleId="meta-citation">
    <w:name w:val="meta-citation"/>
    <w:basedOn w:val="DefaultParagraphFont"/>
    <w:qFormat/>
    <w:rsid w:val="00D211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Theme="minorHAnsi" w:hAnsi="Times New Roman"/>
      <w:color w:val="0563C1" w:themeColor="hyperlink"/>
      <w:sz w:val="24"/>
      <w:szCs w:val="24"/>
      <w:u w:val="single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color w:val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ody">
    <w:name w:val="Body"/>
    <w:qFormat/>
    <w:rsid w:val="00D33B92"/>
    <w:pPr>
      <w:spacing w:after="160" w:line="259" w:lineRule="auto"/>
    </w:pPr>
    <w:rPr>
      <w:rFonts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D33B92"/>
    <w:pPr>
      <w:spacing w:after="160" w:line="259" w:lineRule="auto"/>
      <w:ind w:left="720"/>
    </w:pPr>
    <w:rPr>
      <w:rFonts w:cs="Calibri"/>
      <w:color w:val="000000"/>
      <w:sz w:val="22"/>
      <w:szCs w:val="22"/>
      <w:u w:color="000000"/>
      <w:lang w:val="it-IT"/>
    </w:rPr>
  </w:style>
  <w:style w:type="paragraph" w:customStyle="1" w:styleId="HeaderFooter">
    <w:name w:val="Header &amp; Footer"/>
    <w:qFormat/>
    <w:rsid w:val="00D33B92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A411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A4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41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744DD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C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D99ADD175D44DA09E7183C9E9B9E7" ma:contentTypeVersion="10" ma:contentTypeDescription="Create a new document." ma:contentTypeScope="" ma:versionID="d810c9513022af6600fdc4c06c7653d4">
  <xsd:schema xmlns:xsd="http://www.w3.org/2001/XMLSchema" xmlns:xs="http://www.w3.org/2001/XMLSchema" xmlns:p="http://schemas.microsoft.com/office/2006/metadata/properties" xmlns:ns3="9df8a93a-4420-4627-9123-c874b8d6467a" targetNamespace="http://schemas.microsoft.com/office/2006/metadata/properties" ma:root="true" ma:fieldsID="ee119877cf9fea73cc5dbc43dcfbc3bb" ns3:_="">
    <xsd:import namespace="9df8a93a-4420-4627-9123-c874b8d64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a93a-4420-4627-9123-c874b8d6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F2B9E-4FEB-4BF9-B3FC-36B1B4E1D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3113-EF1A-4FB5-A4CD-C9DFE500A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89BEB-07EA-45B1-BB64-1720C98E9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B446F-509A-4A94-A292-C72102D87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8a93a-4420-4627-9123-c874b8d64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Vark</dc:creator>
  <dc:description/>
  <cp:lastModifiedBy>Laura-Liisa Liivamägi</cp:lastModifiedBy>
  <cp:revision>2</cp:revision>
  <cp:lastPrinted>2017-02-09T07:33:00Z</cp:lastPrinted>
  <dcterms:created xsi:type="dcterms:W3CDTF">2021-02-08T10:28:00Z</dcterms:created>
  <dcterms:modified xsi:type="dcterms:W3CDTF">2021-02-08T10:28:00Z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0x010100091D99ADD175D44DA09E7183C9E9B9E7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